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SECURITIES AND EXCHANGE COMMISSION</w:t>
      </w:r>
    </w:p>
    <w:p>
      <w:pPr>
        <w:spacing w:after="0" w:line="4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7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29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3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(Amendment No. __)</w:t>
      </w:r>
    </w:p>
    <w:p>
      <w:pPr>
        <w:spacing w:after="0" w:line="1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(Rule 13d-102)</w:t>
      </w:r>
    </w:p>
    <w:p>
      <w:pPr>
        <w:spacing w:after="0" w:line="27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INFORMATION TO BE INCLUDED IN STATEMENTS FILED PURSUANT TO RULES 13d-1(b), (c) AND (d)</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AND AMENDMENTS THERETO FILED PURSUANT TO RULE 13d-2(b)</w:t>
      </w:r>
    </w:p>
    <w:p>
      <w:pPr>
        <w:spacing w:after="0" w:line="27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8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BACKBLAZE,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35560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4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of Issuer)</w:t>
      </w:r>
    </w:p>
    <w:p>
      <w:pPr>
        <w:spacing w:after="0" w:line="23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A Common Stock, $0.0001 par value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3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3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05637B105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2379345</wp:posOffset>
            </wp:positionH>
            <wp:positionV relativeFrom="paragraph">
              <wp:posOffset>28575</wp:posOffset>
            </wp:positionV>
            <wp:extent cx="237426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74265" cy="17145"/>
                    </a:xfrm>
                    <a:prstGeom prst="rect">
                      <a:avLst/>
                    </a:prstGeom>
                    <a:noFill/>
                  </pic:spPr>
                </pic:pic>
              </a:graphicData>
            </a:graphic>
          </wp:anchor>
        </w:drawing>
      </w:r>
    </w:p>
    <w:p>
      <w:pPr>
        <w:spacing w:after="0" w:line="3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(CUSIP Number)</w:t>
      </w:r>
    </w:p>
    <w:p>
      <w:pPr>
        <w:spacing w:after="0" w:line="23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November 11,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3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4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ind w:left="900" w:hanging="244"/>
        <w:spacing w:after="0"/>
        <w:tabs>
          <w:tab w:leader="none" w:pos="9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13d-1(b)</w:t>
      </w:r>
    </w:p>
    <w:p>
      <w:pPr>
        <w:spacing w:after="0" w:line="287" w:lineRule="exact"/>
        <w:rPr>
          <w:sz w:val="24"/>
          <w:szCs w:val="24"/>
          <w:color w:val="auto"/>
        </w:rPr>
      </w:pPr>
    </w:p>
    <w:p>
      <w:pPr>
        <w:ind w:left="900" w:hanging="244"/>
        <w:spacing w:after="0"/>
        <w:tabs>
          <w:tab w:leader="none" w:pos="90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13d-1(c)</w:t>
      </w:r>
    </w:p>
    <w:p>
      <w:pPr>
        <w:spacing w:after="0" w:line="287" w:lineRule="exact"/>
        <w:rPr>
          <w:sz w:val="24"/>
          <w:szCs w:val="24"/>
          <w:color w:val="auto"/>
        </w:rPr>
      </w:pPr>
    </w:p>
    <w:p>
      <w:pPr>
        <w:ind w:left="900" w:hanging="244"/>
        <w:spacing w:after="0"/>
        <w:tabs>
          <w:tab w:leader="none" w:pos="900" w:val="left"/>
        </w:tabs>
        <w:numPr>
          <w:ilvl w:val="1"/>
          <w:numId w:val="3"/>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Rule 13d-1(d)</w:t>
      </w:r>
    </w:p>
    <w:p>
      <w:pPr>
        <w:spacing w:after="0" w:line="287" w:lineRule="exact"/>
        <w:rPr>
          <w:rFonts w:ascii="MS PGothic" w:cs="MS PGothic" w:eastAsia="MS PGothic" w:hAnsi="MS PGothic"/>
          <w:sz w:val="22"/>
          <w:szCs w:val="22"/>
          <w:color w:val="auto"/>
        </w:rPr>
      </w:pPr>
    </w:p>
    <w:p>
      <w:pPr>
        <w:jc w:val="both"/>
        <w:spacing w:after="0" w:line="270" w:lineRule="auto"/>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26" w:lineRule="exact"/>
        <w:rPr>
          <w:sz w:val="24"/>
          <w:szCs w:val="24"/>
          <w:color w:val="auto"/>
        </w:rPr>
      </w:pPr>
    </w:p>
    <w:p>
      <w:pPr>
        <w:jc w:val="both"/>
        <w:spacing w:after="0" w:line="270" w:lineRule="auto"/>
        <w:rPr>
          <w:sz w:val="20"/>
          <w:szCs w:val="20"/>
          <w:color w:val="auto"/>
        </w:rPr>
      </w:pPr>
      <w:r>
        <w:rPr>
          <w:rFonts w:ascii="Times New Roman" w:cs="Times New Roman" w:eastAsia="Times New Roman" w:hAnsi="Times New Roman"/>
          <w:sz w:val="22"/>
          <w:szCs w:val="22"/>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272415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13" w:right="339" w:bottom="1440" w:gutter="0" w:footer="0" w:header="0"/>
        </w:sectPr>
      </w:pPr>
    </w:p>
    <w:bookmarkStart w:id="1" w:name="page2"/>
    <w:bookmarkEnd w:id="1"/>
    <w:p>
      <w:pPr>
        <w:ind w:left="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63436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6343650"/>
                    </a:xfrm>
                    <a:prstGeom prst="rect">
                      <a:avLst/>
                    </a:prstGeom>
                    <a:noFill/>
                  </pic:spPr>
                </pic:pic>
              </a:graphicData>
            </a:graphic>
          </wp:anchor>
        </w:drawing>
        <w:t xml:space="preserve">CUSIP NO. </w:t>
      </w:r>
      <w:r>
        <w:rPr>
          <w:rFonts w:ascii="Times New Roman" w:cs="Times New Roman" w:eastAsia="Times New Roman" w:hAnsi="Times New Roman"/>
          <w:sz w:val="18"/>
          <w:szCs w:val="18"/>
          <w:b w:val="1"/>
          <w:bCs w:val="1"/>
          <w:u w:val="single" w:color="auto"/>
          <w:color w:val="auto"/>
        </w:rPr>
        <w:t>05637B105</w:t>
      </w:r>
    </w:p>
    <w:p>
      <w:pPr>
        <w:spacing w:after="0" w:line="135" w:lineRule="exact"/>
        <w:rPr>
          <w:sz w:val="20"/>
          <w:szCs w:val="20"/>
          <w:color w:val="auto"/>
        </w:rPr>
      </w:pPr>
    </w:p>
    <w:p>
      <w:pPr>
        <w:ind w:left="760" w:hanging="469"/>
        <w:spacing w:after="0"/>
        <w:tabs>
          <w:tab w:leader="none" w:pos="7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 of Reporting Persons/</w:t>
      </w:r>
    </w:p>
    <w:p>
      <w:pPr>
        <w:spacing w:after="0" w:line="27" w:lineRule="exact"/>
        <w:rPr>
          <w:rFonts w:ascii="Times New Roman" w:cs="Times New Roman" w:eastAsia="Times New Roman" w:hAnsi="Times New Roman"/>
          <w:sz w:val="18"/>
          <w:szCs w:val="18"/>
          <w:color w:val="auto"/>
        </w:rPr>
      </w:pPr>
    </w:p>
    <w:p>
      <w:pPr>
        <w:ind w:left="760" w:right="6320"/>
        <w:spacing w:after="0" w:line="36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I.R.S. Identification Nos. of above persons (entities only). Clal Insurance Enterprises Holdings Ltd.</w:t>
      </w:r>
    </w:p>
    <w:p>
      <w:pPr>
        <w:ind w:left="760" w:hanging="469"/>
        <w:spacing w:after="0"/>
        <w:tabs>
          <w:tab w:leader="none" w:pos="7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74" w:lineRule="exact"/>
        <w:rPr>
          <w:rFonts w:ascii="Times New Roman" w:cs="Times New Roman" w:eastAsia="Times New Roman" w:hAnsi="Times New Roman"/>
          <w:sz w:val="18"/>
          <w:szCs w:val="18"/>
          <w:color w:val="auto"/>
        </w:rPr>
      </w:pPr>
    </w:p>
    <w:p>
      <w:pPr>
        <w:ind w:left="1060" w:hanging="310"/>
        <w:spacing w:after="0" w:line="207" w:lineRule="exact"/>
        <w:tabs>
          <w:tab w:leader="none" w:pos="1060" w:val="left"/>
        </w:tabs>
        <w:numPr>
          <w:ilvl w:val="1"/>
          <w:numId w:val="4"/>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103" w:lineRule="exact"/>
        <w:rPr>
          <w:rFonts w:ascii="Times New Roman" w:cs="Times New Roman" w:eastAsia="Times New Roman" w:hAnsi="Times New Roman"/>
          <w:sz w:val="18"/>
          <w:szCs w:val="18"/>
          <w:color w:val="auto"/>
        </w:rPr>
      </w:pPr>
    </w:p>
    <w:p>
      <w:pPr>
        <w:ind w:left="1060" w:hanging="310"/>
        <w:spacing w:after="0" w:line="207" w:lineRule="exact"/>
        <w:tabs>
          <w:tab w:leader="none" w:pos="1060" w:val="left"/>
        </w:tabs>
        <w:numPr>
          <w:ilvl w:val="1"/>
          <w:numId w:val="4"/>
        </w:numPr>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159" w:lineRule="exact"/>
        <w:rPr>
          <w:rFonts w:ascii="Times New Roman" w:cs="Times New Roman" w:eastAsia="Times New Roman" w:hAnsi="Times New Roman"/>
          <w:sz w:val="18"/>
          <w:szCs w:val="18"/>
          <w:color w:val="auto"/>
        </w:rPr>
      </w:pPr>
    </w:p>
    <w:p>
      <w:pPr>
        <w:ind w:left="760" w:hanging="469"/>
        <w:spacing w:after="0"/>
        <w:tabs>
          <w:tab w:leader="none" w:pos="7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0" w:lineRule="exact"/>
        <w:rPr>
          <w:rFonts w:ascii="Times New Roman" w:cs="Times New Roman" w:eastAsia="Times New Roman" w:hAnsi="Times New Roman"/>
          <w:sz w:val="18"/>
          <w:szCs w:val="18"/>
          <w:color w:val="auto"/>
        </w:rPr>
      </w:pPr>
    </w:p>
    <w:p>
      <w:pPr>
        <w:spacing w:after="0" w:line="362" w:lineRule="exact"/>
        <w:rPr>
          <w:rFonts w:ascii="Times New Roman" w:cs="Times New Roman" w:eastAsia="Times New Roman" w:hAnsi="Times New Roman"/>
          <w:sz w:val="18"/>
          <w:szCs w:val="18"/>
          <w:color w:val="auto"/>
        </w:rPr>
      </w:pPr>
    </w:p>
    <w:p>
      <w:pPr>
        <w:ind w:left="760" w:right="8920" w:hanging="469"/>
        <w:spacing w:after="0" w:line="453" w:lineRule="auto"/>
        <w:tabs>
          <w:tab w:leader="none" w:pos="7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Place of Organization Israel</w:t>
      </w:r>
    </w:p>
    <w:p>
      <w:pPr>
        <w:spacing w:after="0" w:line="1" w:lineRule="exact"/>
        <w:rPr>
          <w:rFonts w:ascii="Times New Roman" w:cs="Times New Roman" w:eastAsia="Times New Roman" w:hAnsi="Times New Roman"/>
          <w:sz w:val="18"/>
          <w:szCs w:val="18"/>
          <w:color w:val="auto"/>
        </w:rPr>
      </w:pPr>
    </w:p>
    <w:p>
      <w:pPr>
        <w:ind w:left="2140" w:hanging="451"/>
        <w:spacing w:after="0"/>
        <w:tabs>
          <w:tab w:leader="none" w:pos="2140" w:val="left"/>
        </w:tabs>
        <w:numPr>
          <w:ilvl w:val="2"/>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Voting Power</w:t>
      </w:r>
    </w:p>
    <w:p>
      <w:pPr>
        <w:spacing w:after="0" w:line="239" w:lineRule="exact"/>
        <w:rPr>
          <w:sz w:val="20"/>
          <w:szCs w:val="20"/>
          <w:color w:val="auto"/>
        </w:rPr>
      </w:pPr>
    </w:p>
    <w:tbl>
      <w:tblPr>
        <w:tblLayout w:type="fixed"/>
        <w:tblInd w:w="80" w:type="dxa"/>
        <w:tblCellMar>
          <w:top w:w="0" w:type="dxa"/>
          <w:left w:w="0" w:type="dxa"/>
          <w:bottom w:w="0" w:type="dxa"/>
          <w:right w:w="0" w:type="dxa"/>
        </w:tblCellMar>
      </w:tblPr>
      <w:tr>
        <w:trPr>
          <w:trHeight w:val="234"/>
        </w:trPr>
        <w:tc>
          <w:tcPr>
            <w:tcW w:w="1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92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1"/>
        </w:trPr>
        <w:tc>
          <w:tcPr>
            <w:tcW w:w="13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560" w:type="dxa"/>
            <w:vAlign w:val="bottom"/>
            <w:tcBorders>
              <w:bottom w:val="single" w:sz="8" w:color="auto"/>
            </w:tcBorders>
          </w:tcPr>
          <w:p>
            <w:pPr>
              <w:spacing w:after="0"/>
              <w:rPr>
                <w:sz w:val="5"/>
                <w:szCs w:val="5"/>
                <w:color w:val="auto"/>
              </w:rPr>
            </w:pPr>
          </w:p>
        </w:tc>
        <w:tc>
          <w:tcPr>
            <w:tcW w:w="92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1340" w:type="dxa"/>
            <w:vAlign w:val="bottom"/>
            <w:vMerge w:val="continue"/>
          </w:tcPr>
          <w:p>
            <w:pPr>
              <w:spacing w:after="0"/>
              <w:rPr>
                <w:sz w:val="16"/>
                <w:szCs w:val="16"/>
                <w:color w:val="auto"/>
              </w:rPr>
            </w:pPr>
          </w:p>
        </w:tc>
        <w:tc>
          <w:tcPr>
            <w:tcW w:w="56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color w:val="auto"/>
              </w:rPr>
              <w:t>6.</w:t>
            </w:r>
          </w:p>
        </w:tc>
        <w:tc>
          <w:tcPr>
            <w:tcW w:w="926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68"/>
        </w:trPr>
        <w:tc>
          <w:tcPr>
            <w:tcW w:w="13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560" w:type="dxa"/>
            <w:vAlign w:val="bottom"/>
            <w:vMerge w:val="continue"/>
          </w:tcPr>
          <w:p>
            <w:pPr>
              <w:spacing w:after="0"/>
              <w:rPr>
                <w:sz w:val="5"/>
                <w:szCs w:val="5"/>
                <w:color w:val="auto"/>
              </w:rPr>
            </w:pPr>
          </w:p>
        </w:tc>
        <w:tc>
          <w:tcPr>
            <w:tcW w:w="92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4"/>
        </w:trPr>
        <w:tc>
          <w:tcPr>
            <w:tcW w:w="1340" w:type="dxa"/>
            <w:vAlign w:val="bottom"/>
            <w:vMerge w:val="continue"/>
          </w:tcPr>
          <w:p>
            <w:pPr>
              <w:spacing w:after="0"/>
              <w:rPr>
                <w:sz w:val="12"/>
                <w:szCs w:val="12"/>
                <w:color w:val="auto"/>
              </w:rPr>
            </w:pPr>
          </w:p>
        </w:tc>
        <w:tc>
          <w:tcPr>
            <w:tcW w:w="560" w:type="dxa"/>
            <w:vAlign w:val="bottom"/>
          </w:tcPr>
          <w:p>
            <w:pPr>
              <w:spacing w:after="0"/>
              <w:rPr>
                <w:sz w:val="12"/>
                <w:szCs w:val="12"/>
                <w:color w:val="auto"/>
              </w:rPr>
            </w:pPr>
          </w:p>
        </w:tc>
        <w:tc>
          <w:tcPr>
            <w:tcW w:w="9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4"/>
        </w:trPr>
        <w:tc>
          <w:tcPr>
            <w:tcW w:w="1340" w:type="dxa"/>
            <w:vAlign w:val="bottom"/>
          </w:tcPr>
          <w:p>
            <w:pPr>
              <w:spacing w:after="0"/>
              <w:rPr>
                <w:sz w:val="20"/>
                <w:szCs w:val="20"/>
                <w:color w:val="auto"/>
              </w:rPr>
            </w:pPr>
            <w:r>
              <w:rPr>
                <w:rFonts w:ascii="Times New Roman" w:cs="Times New Roman" w:eastAsia="Times New Roman" w:hAnsi="Times New Roman"/>
                <w:sz w:val="18"/>
                <w:szCs w:val="18"/>
                <w:color w:val="auto"/>
              </w:rPr>
              <w:t>Beneficially</w:t>
            </w:r>
          </w:p>
        </w:tc>
        <w:tc>
          <w:tcPr>
            <w:tcW w:w="560" w:type="dxa"/>
            <w:vAlign w:val="bottom"/>
          </w:tcPr>
          <w:p>
            <w:pPr>
              <w:spacing w:after="0"/>
              <w:rPr>
                <w:sz w:val="20"/>
                <w:szCs w:val="20"/>
                <w:color w:val="auto"/>
              </w:rPr>
            </w:pPr>
          </w:p>
        </w:tc>
        <w:tc>
          <w:tcPr>
            <w:tcW w:w="9260" w:type="dxa"/>
            <w:vAlign w:val="bottom"/>
            <w:vMerge w:val="restart"/>
          </w:tcPr>
          <w:p>
            <w:pPr>
              <w:ind w:left="200"/>
              <w:spacing w:after="0"/>
              <w:rPr>
                <w:sz w:val="20"/>
                <w:szCs w:val="20"/>
                <w:color w:val="auto"/>
              </w:rPr>
            </w:pPr>
            <w:r>
              <w:rPr>
                <w:rFonts w:ascii="Times New Roman" w:cs="Times New Roman" w:eastAsia="Times New Roman" w:hAnsi="Times New Roman"/>
                <w:sz w:val="18"/>
                <w:szCs w:val="18"/>
                <w:color w:val="auto"/>
              </w:rPr>
              <w:t>1,150,568 shares of Class A Common Stock *</w:t>
            </w:r>
          </w:p>
        </w:tc>
        <w:tc>
          <w:tcPr>
            <w:tcW w:w="0" w:type="dxa"/>
            <w:vAlign w:val="bottom"/>
          </w:tcPr>
          <w:p>
            <w:pPr>
              <w:spacing w:after="0"/>
              <w:rPr>
                <w:sz w:val="1"/>
                <w:szCs w:val="1"/>
                <w:color w:val="auto"/>
              </w:rPr>
            </w:pPr>
          </w:p>
        </w:tc>
      </w:tr>
      <w:tr>
        <w:trPr>
          <w:trHeight w:val="68"/>
        </w:trPr>
        <w:tc>
          <w:tcPr>
            <w:tcW w:w="13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Owned</w:t>
            </w:r>
          </w:p>
        </w:tc>
        <w:tc>
          <w:tcPr>
            <w:tcW w:w="560" w:type="dxa"/>
            <w:vAlign w:val="bottom"/>
          </w:tcPr>
          <w:p>
            <w:pPr>
              <w:spacing w:after="0"/>
              <w:rPr>
                <w:sz w:val="5"/>
                <w:szCs w:val="5"/>
                <w:color w:val="auto"/>
              </w:rPr>
            </w:pPr>
          </w:p>
        </w:tc>
        <w:tc>
          <w:tcPr>
            <w:tcW w:w="92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1"/>
        </w:trPr>
        <w:tc>
          <w:tcPr>
            <w:tcW w:w="1340" w:type="dxa"/>
            <w:vAlign w:val="bottom"/>
            <w:vMerge w:val="continue"/>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92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6"/>
        </w:trPr>
        <w:tc>
          <w:tcPr>
            <w:tcW w:w="1340" w:type="dxa"/>
            <w:vAlign w:val="bottom"/>
            <w:vMerge w:val="continue"/>
          </w:tcPr>
          <w:p>
            <w:pPr>
              <w:spacing w:after="0"/>
              <w:rPr>
                <w:sz w:val="6"/>
                <w:szCs w:val="6"/>
                <w:color w:val="auto"/>
              </w:rPr>
            </w:pPr>
          </w:p>
        </w:tc>
        <w:tc>
          <w:tcPr>
            <w:tcW w:w="560" w:type="dxa"/>
            <w:vAlign w:val="bottom"/>
            <w:vMerge w:val="restart"/>
          </w:tcPr>
          <w:p>
            <w:pPr>
              <w:jc w:val="right"/>
              <w:ind w:right="70"/>
              <w:spacing w:after="0"/>
              <w:rPr>
                <w:sz w:val="20"/>
                <w:szCs w:val="20"/>
                <w:color w:val="auto"/>
              </w:rPr>
            </w:pPr>
            <w:r>
              <w:rPr>
                <w:rFonts w:ascii="Times New Roman" w:cs="Times New Roman" w:eastAsia="Times New Roman" w:hAnsi="Times New Roman"/>
                <w:sz w:val="18"/>
                <w:szCs w:val="18"/>
                <w:color w:val="auto"/>
              </w:rPr>
              <w:t>7.</w:t>
            </w:r>
          </w:p>
        </w:tc>
        <w:tc>
          <w:tcPr>
            <w:tcW w:w="926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216"/>
        </w:trPr>
        <w:tc>
          <w:tcPr>
            <w:tcW w:w="1340" w:type="dxa"/>
            <w:vAlign w:val="bottom"/>
          </w:tcPr>
          <w:p>
            <w:pPr>
              <w:spacing w:after="0"/>
              <w:rPr>
                <w:sz w:val="20"/>
                <w:szCs w:val="20"/>
                <w:color w:val="auto"/>
              </w:rPr>
            </w:pPr>
            <w:r>
              <w:rPr>
                <w:rFonts w:ascii="Times New Roman" w:cs="Times New Roman" w:eastAsia="Times New Roman" w:hAnsi="Times New Roman"/>
                <w:sz w:val="18"/>
                <w:szCs w:val="18"/>
                <w:color w:val="auto"/>
              </w:rPr>
              <w:t>by Each</w:t>
            </w:r>
          </w:p>
        </w:tc>
        <w:tc>
          <w:tcPr>
            <w:tcW w:w="560" w:type="dxa"/>
            <w:vAlign w:val="bottom"/>
            <w:vMerge w:val="continue"/>
          </w:tcPr>
          <w:p>
            <w:pPr>
              <w:spacing w:after="0"/>
              <w:rPr>
                <w:sz w:val="18"/>
                <w:szCs w:val="18"/>
                <w:color w:val="auto"/>
              </w:rPr>
            </w:pPr>
          </w:p>
        </w:tc>
        <w:tc>
          <w:tcPr>
            <w:tcW w:w="92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1340" w:type="dxa"/>
            <w:vAlign w:val="bottom"/>
          </w:tcPr>
          <w:p>
            <w:pPr>
              <w:spacing w:after="0"/>
              <w:rPr>
                <w:sz w:val="20"/>
                <w:szCs w:val="20"/>
                <w:color w:val="auto"/>
              </w:rPr>
            </w:pPr>
            <w:r>
              <w:rPr>
                <w:rFonts w:ascii="Times New Roman" w:cs="Times New Roman" w:eastAsia="Times New Roman" w:hAnsi="Times New Roman"/>
                <w:sz w:val="18"/>
                <w:szCs w:val="18"/>
                <w:color w:val="auto"/>
              </w:rPr>
              <w:t>Reporting</w:t>
            </w:r>
          </w:p>
        </w:tc>
        <w:tc>
          <w:tcPr>
            <w:tcW w:w="560" w:type="dxa"/>
            <w:vAlign w:val="bottom"/>
          </w:tcPr>
          <w:p>
            <w:pPr>
              <w:spacing w:after="0"/>
              <w:rPr>
                <w:sz w:val="19"/>
                <w:szCs w:val="19"/>
                <w:color w:val="auto"/>
              </w:rPr>
            </w:pPr>
          </w:p>
        </w:tc>
        <w:tc>
          <w:tcPr>
            <w:tcW w:w="926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41"/>
        </w:trPr>
        <w:tc>
          <w:tcPr>
            <w:tcW w:w="1340" w:type="dxa"/>
            <w:vAlign w:val="bottom"/>
          </w:tcPr>
          <w:p>
            <w:pPr>
              <w:spacing w:after="0"/>
              <w:rPr>
                <w:sz w:val="20"/>
                <w:szCs w:val="20"/>
                <w:color w:val="auto"/>
              </w:rPr>
            </w:pPr>
            <w:r>
              <w:rPr>
                <w:rFonts w:ascii="Times New Roman" w:cs="Times New Roman" w:eastAsia="Times New Roman" w:hAnsi="Times New Roman"/>
                <w:sz w:val="18"/>
                <w:szCs w:val="18"/>
                <w:color w:val="auto"/>
              </w:rPr>
              <w:t>Person With:</w:t>
            </w:r>
          </w:p>
        </w:tc>
        <w:tc>
          <w:tcPr>
            <w:tcW w:w="560" w:type="dxa"/>
            <w:vAlign w:val="bottom"/>
            <w:tcBorders>
              <w:bottom w:val="single" w:sz="8" w:color="auto"/>
            </w:tcBorders>
          </w:tcPr>
          <w:p>
            <w:pPr>
              <w:spacing w:after="0"/>
              <w:rPr>
                <w:sz w:val="20"/>
                <w:szCs w:val="20"/>
                <w:color w:val="auto"/>
              </w:rPr>
            </w:pPr>
          </w:p>
        </w:tc>
        <w:tc>
          <w:tcPr>
            <w:tcW w:w="92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1340" w:type="dxa"/>
            <w:vAlign w:val="bottom"/>
          </w:tcPr>
          <w:p>
            <w:pPr>
              <w:spacing w:after="0"/>
              <w:rPr>
                <w:sz w:val="22"/>
                <w:szCs w:val="22"/>
                <w:color w:val="auto"/>
              </w:rPr>
            </w:pPr>
          </w:p>
        </w:tc>
        <w:tc>
          <w:tcPr>
            <w:tcW w:w="5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8.</w:t>
            </w:r>
          </w:p>
        </w:tc>
        <w:tc>
          <w:tcPr>
            <w:tcW w:w="92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1,150,568 shares of Class A Common Stock *</w:t>
      </w:r>
    </w:p>
    <w:p>
      <w:pPr>
        <w:spacing w:after="0" w:line="131" w:lineRule="exact"/>
        <w:rPr>
          <w:sz w:val="20"/>
          <w:szCs w:val="20"/>
          <w:color w:val="auto"/>
        </w:rPr>
      </w:pPr>
    </w:p>
    <w:p>
      <w:pPr>
        <w:ind w:left="760" w:hanging="469"/>
        <w:spacing w:after="0"/>
        <w:tabs>
          <w:tab w:leader="none" w:pos="7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39"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1,150,568 shares of Class A Common Stock *</w:t>
      </w:r>
    </w:p>
    <w:p>
      <w:pPr>
        <w:spacing w:after="0" w:line="131" w:lineRule="exact"/>
        <w:rPr>
          <w:sz w:val="20"/>
          <w:szCs w:val="20"/>
          <w:color w:val="auto"/>
        </w:rPr>
      </w:pPr>
    </w:p>
    <w:p>
      <w:pPr>
        <w:ind w:left="760" w:hanging="513"/>
        <w:spacing w:after="0"/>
        <w:tabs>
          <w:tab w:leader="none" w:pos="7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(9) Excludes Certain Shares</w:t>
      </w:r>
    </w:p>
    <w:p>
      <w:pPr>
        <w:spacing w:after="0" w:line="209" w:lineRule="exact"/>
        <w:rPr>
          <w:rFonts w:ascii="Times New Roman" w:cs="Times New Roman" w:eastAsia="Times New Roman" w:hAnsi="Times New Roman"/>
          <w:sz w:val="18"/>
          <w:szCs w:val="18"/>
          <w:color w:val="auto"/>
        </w:rPr>
      </w:pPr>
    </w:p>
    <w:p>
      <w:pPr>
        <w:ind w:left="760"/>
        <w:spacing w:after="0" w:line="181" w:lineRule="exact"/>
        <w:rPr>
          <w:rFonts w:ascii="Times New Roman" w:cs="Times New Roman" w:eastAsia="Times New Roman" w:hAnsi="Times New Roman"/>
          <w:sz w:val="18"/>
          <w:szCs w:val="18"/>
          <w:color w:val="auto"/>
        </w:rPr>
      </w:pPr>
      <w:r>
        <w:rPr>
          <w:rFonts w:ascii="MS PGothic" w:cs="MS PGothic" w:eastAsia="MS PGothic" w:hAnsi="MS PGothic"/>
          <w:sz w:val="18"/>
          <w:szCs w:val="18"/>
          <w:color w:val="auto"/>
        </w:rPr>
        <w:t>☐</w:t>
      </w:r>
    </w:p>
    <w:p>
      <w:pPr>
        <w:spacing w:after="0" w:line="172" w:lineRule="exact"/>
        <w:rPr>
          <w:rFonts w:ascii="Times New Roman" w:cs="Times New Roman" w:eastAsia="Times New Roman" w:hAnsi="Times New Roman"/>
          <w:sz w:val="18"/>
          <w:szCs w:val="18"/>
          <w:color w:val="auto"/>
        </w:rPr>
      </w:pPr>
    </w:p>
    <w:p>
      <w:pPr>
        <w:ind w:left="760" w:hanging="510"/>
        <w:spacing w:after="0"/>
        <w:tabs>
          <w:tab w:leader="none" w:pos="7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(9)</w:t>
      </w:r>
    </w:p>
    <w:p>
      <w:pPr>
        <w:spacing w:after="0" w:line="239"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7.6%**</w:t>
      </w:r>
    </w:p>
    <w:p>
      <w:pPr>
        <w:spacing w:after="0" w:line="131" w:lineRule="exact"/>
        <w:rPr>
          <w:sz w:val="20"/>
          <w:szCs w:val="20"/>
          <w:color w:val="auto"/>
        </w:rPr>
      </w:pPr>
    </w:p>
    <w:p>
      <w:pPr>
        <w:ind w:left="760" w:hanging="513"/>
        <w:spacing w:after="0"/>
        <w:tabs>
          <w:tab w:leader="none" w:pos="760"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 :</w:t>
      </w:r>
    </w:p>
    <w:p>
      <w:pPr>
        <w:spacing w:after="0" w:line="238" w:lineRule="exact"/>
        <w:rPr>
          <w:rFonts w:ascii="Times New Roman" w:cs="Times New Roman" w:eastAsia="Times New Roman" w:hAnsi="Times New Roman"/>
          <w:sz w:val="18"/>
          <w:szCs w:val="18"/>
          <w:color w:val="auto"/>
        </w:rPr>
      </w:pPr>
    </w:p>
    <w:p>
      <w:pPr>
        <w:ind w:left="7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w:t>
      </w:r>
    </w:p>
    <w:p>
      <w:pPr>
        <w:spacing w:after="0" w:line="364"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color w:val="auto"/>
        </w:rPr>
        <w:t>* See Item 4.</w:t>
      </w:r>
    </w:p>
    <w:p>
      <w:pPr>
        <w:spacing w:after="0" w:line="29" w:lineRule="exact"/>
        <w:rPr>
          <w:rFonts w:ascii="Times New Roman" w:cs="Times New Roman" w:eastAsia="Times New Roman" w:hAnsi="Times New Roman"/>
          <w:sz w:val="18"/>
          <w:szCs w:val="18"/>
          <w:color w:val="auto"/>
        </w:rPr>
      </w:pPr>
    </w:p>
    <w:p>
      <w:pPr>
        <w:ind w:firstLine="8"/>
        <w:spacing w:after="0" w:line="272" w:lineRule="auto"/>
        <w:tabs>
          <w:tab w:leader="none" w:pos="277"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Based on 15,108,346 shares of Class A Common Stock outstanding as of September 30, 2022 (as reported by the Issuer in its report on Form 10-Q submitted to the Securities and Exchange Commission on November 10,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85"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2"/>
          <w:szCs w:val="22"/>
          <w:b w:val="1"/>
          <w:bCs w:val="1"/>
          <w:color w:val="auto"/>
        </w:rPr>
        <w:t>EXPLANATORY NOTE</w:t>
      </w:r>
    </w:p>
    <w:p>
      <w:pPr>
        <w:spacing w:after="0" w:line="291" w:lineRule="exact"/>
        <w:rPr>
          <w:sz w:val="20"/>
          <w:szCs w:val="20"/>
          <w:color w:val="auto"/>
        </w:rPr>
      </w:pPr>
    </w:p>
    <w:p>
      <w:pPr>
        <w:ind w:right="20"/>
        <w:spacing w:after="0" w:line="275" w:lineRule="auto"/>
        <w:rPr>
          <w:sz w:val="20"/>
          <w:szCs w:val="20"/>
          <w:color w:val="auto"/>
        </w:rPr>
      </w:pPr>
      <w:r>
        <w:rPr>
          <w:rFonts w:ascii="Times New Roman" w:cs="Times New Roman" w:eastAsia="Times New Roman" w:hAnsi="Times New Roman"/>
          <w:sz w:val="21"/>
          <w:szCs w:val="21"/>
          <w:color w:val="auto"/>
        </w:rPr>
        <w:t>This Schedule 13G is filed by the Reporting Person (as defined below) pursuant to Rule 13d-1(c) in connection with initial public offering of the Issuer (as defined below) and commencement of trading of its Class A Common Stock on the NASDAQ Global Market on November 11, 2021, which means that the “Date of Event Which Requires Filing of this Statement” is November 11, 2021 (the “Initial Date”) and that the due date for filing this Schedule 13G pursuant to Rule 13d-1(c) was November 22, 2021. However, due to a technical error, the Reporting Person did not file the Schedule 13G by that time and is filing this Schedule 13G on the date hereof. As shown in Item 4 below, the information with respect to the beneficial ownership of shares of Class A Common Stock by the Reporting Person is provided as of the Initial Date, December 31, 2021 and as of October 31, 2022.</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1.</w:t>
      </w:r>
    </w:p>
    <w:p>
      <w:pPr>
        <w:spacing w:after="0" w:line="287" w:lineRule="exact"/>
        <w:rPr>
          <w:sz w:val="20"/>
          <w:szCs w:val="20"/>
          <w:color w:val="auto"/>
        </w:rPr>
      </w:pPr>
    </w:p>
    <w:p>
      <w:pPr>
        <w:ind w:left="640" w:hanging="632"/>
        <w:spacing w:after="0"/>
        <w:tabs>
          <w:tab w:leader="none" w:pos="6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Name of Issuer: </w:t>
      </w:r>
      <w:r>
        <w:rPr>
          <w:rFonts w:ascii="Times New Roman" w:cs="Times New Roman" w:eastAsia="Times New Roman" w:hAnsi="Times New Roman"/>
          <w:sz w:val="18"/>
          <w:szCs w:val="18"/>
          <w:u w:val="single" w:color="auto"/>
          <w:color w:val="auto"/>
        </w:rPr>
        <w:t>BACKBLAZE, INC.</w:t>
      </w:r>
      <w:r>
        <w:rPr>
          <w:rFonts w:ascii="Times New Roman" w:cs="Times New Roman" w:eastAsia="Times New Roman" w:hAnsi="Times New Roman"/>
          <w:sz w:val="18"/>
          <w:szCs w:val="18"/>
          <w:color w:val="auto"/>
        </w:rPr>
        <w:t xml:space="preserve"> (the “Issuer”).</w:t>
      </w:r>
    </w:p>
    <w:p>
      <w:pPr>
        <w:spacing w:after="0" w:line="292" w:lineRule="exact"/>
        <w:rPr>
          <w:rFonts w:ascii="Times New Roman" w:cs="Times New Roman" w:eastAsia="Times New Roman" w:hAnsi="Times New Roman"/>
          <w:sz w:val="18"/>
          <w:szCs w:val="18"/>
          <w:color w:val="auto"/>
        </w:rPr>
      </w:pPr>
    </w:p>
    <w:p>
      <w:pPr>
        <w:ind w:left="640" w:hanging="632"/>
        <w:spacing w:after="0"/>
        <w:tabs>
          <w:tab w:leader="none" w:pos="6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Address of Issuer’s Principal Executive Offices:</w:t>
      </w:r>
    </w:p>
    <w:p>
      <w:pPr>
        <w:spacing w:after="0" w:line="29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u w:val="single" w:color="auto"/>
          <w:color w:val="auto"/>
        </w:rPr>
        <w:t>500 Ben Franklin Ct., San Mateo, California 94401</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287" w:lineRule="exact"/>
        <w:rPr>
          <w:sz w:val="20"/>
          <w:szCs w:val="20"/>
          <w:color w:val="auto"/>
        </w:rPr>
      </w:pPr>
    </w:p>
    <w:p>
      <w:pPr>
        <w:ind w:left="640" w:hanging="632"/>
        <w:spacing w:after="0"/>
        <w:tabs>
          <w:tab w:leader="none" w:pos="6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 of Person Filing:</w:t>
      </w:r>
    </w:p>
    <w:p>
      <w:pPr>
        <w:spacing w:after="0" w:line="297" w:lineRule="exact"/>
        <w:rPr>
          <w:sz w:val="20"/>
          <w:szCs w:val="20"/>
          <w:color w:val="auto"/>
        </w:rPr>
      </w:pPr>
    </w:p>
    <w:p>
      <w:pPr>
        <w:ind w:right="160"/>
        <w:spacing w:after="0" w:line="284" w:lineRule="auto"/>
        <w:rPr>
          <w:sz w:val="20"/>
          <w:szCs w:val="20"/>
          <w:color w:val="auto"/>
        </w:rPr>
      </w:pPr>
      <w:r>
        <w:rPr>
          <w:rFonts w:ascii="Times New Roman" w:cs="Times New Roman" w:eastAsia="Times New Roman" w:hAnsi="Times New Roman"/>
          <w:sz w:val="22"/>
          <w:szCs w:val="22"/>
          <w:color w:val="auto"/>
        </w:rPr>
        <w:t>Clal Insurance Enterprises Holdings Ltd. (“Clal” or the “Reporting Person”). Clal, an Israeli public corporation, may be deemed to beneficially own the shares of Class A Common Stock reported in this Statement. See Item 4.</w:t>
      </w:r>
    </w:p>
    <w:p>
      <w:pPr>
        <w:spacing w:after="0" w:line="207" w:lineRule="exact"/>
        <w:rPr>
          <w:sz w:val="20"/>
          <w:szCs w:val="20"/>
          <w:color w:val="auto"/>
        </w:rPr>
      </w:pPr>
    </w:p>
    <w:p>
      <w:pPr>
        <w:ind w:left="640" w:hanging="632"/>
        <w:spacing w:after="0"/>
        <w:tabs>
          <w:tab w:leader="none" w:pos="6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Address of Principal Business Offices or, if none, Residence:</w:t>
      </w: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Clal Insurance Enterprises Holdings Ltd. – 36 Raul Walenberg St., Tel Aviv 66180, Israel</w:t>
      </w:r>
    </w:p>
    <w:p>
      <w:pPr>
        <w:spacing w:after="0" w:line="283" w:lineRule="exact"/>
        <w:rPr>
          <w:sz w:val="20"/>
          <w:szCs w:val="20"/>
          <w:color w:val="auto"/>
        </w:rPr>
      </w:pPr>
    </w:p>
    <w:p>
      <w:pPr>
        <w:ind w:left="640" w:hanging="632"/>
        <w:spacing w:after="0"/>
        <w:tabs>
          <w:tab w:leader="none" w:pos="6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Place of Organization:</w:t>
      </w:r>
    </w:p>
    <w:p>
      <w:pPr>
        <w:spacing w:after="0" w:line="2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Israel.</w:t>
      </w:r>
    </w:p>
    <w:p>
      <w:pPr>
        <w:spacing w:after="0" w:line="283" w:lineRule="exact"/>
        <w:rPr>
          <w:sz w:val="20"/>
          <w:szCs w:val="20"/>
          <w:color w:val="auto"/>
        </w:rPr>
      </w:pPr>
    </w:p>
    <w:p>
      <w:pPr>
        <w:ind w:left="640" w:hanging="632"/>
        <w:spacing w:after="0"/>
        <w:tabs>
          <w:tab w:leader="none" w:pos="6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Title of Class of Securities:</w:t>
      </w:r>
    </w:p>
    <w:p>
      <w:pPr>
        <w:spacing w:after="0" w:line="28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Class A Common Stock, $0.0001 par value per share (the “Class A Common Stock”).</w:t>
      </w:r>
    </w:p>
    <w:p>
      <w:pPr>
        <w:spacing w:after="0" w:line="283" w:lineRule="exact"/>
        <w:rPr>
          <w:sz w:val="20"/>
          <w:szCs w:val="20"/>
          <w:color w:val="auto"/>
        </w:rPr>
      </w:pPr>
    </w:p>
    <w:p>
      <w:pPr>
        <w:ind w:left="640" w:hanging="632"/>
        <w:spacing w:after="0"/>
        <w:tabs>
          <w:tab w:leader="none" w:pos="6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CUSIP Number:</w:t>
      </w:r>
    </w:p>
    <w:p>
      <w:pPr>
        <w:spacing w:after="0" w:line="28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u w:val="single" w:color="auto"/>
          <w:color w:val="auto"/>
        </w:rPr>
        <w:t>05637B105</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If this statement is filed pursuant to Rules 13d-1(b), or 13d-2(b) or (c), check whether the person filing is a:</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Not applicable.</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Ownership</w:t>
      </w:r>
    </w:p>
    <w:p>
      <w:pPr>
        <w:spacing w:after="0" w:line="283" w:lineRule="exact"/>
        <w:rPr>
          <w:sz w:val="20"/>
          <w:szCs w:val="20"/>
          <w:color w:val="auto"/>
        </w:rPr>
      </w:pPr>
    </w:p>
    <w:p>
      <w:pPr>
        <w:jc w:val="both"/>
        <w:ind w:firstLine="648"/>
        <w:spacing w:after="0" w:line="277" w:lineRule="auto"/>
        <w:rPr>
          <w:sz w:val="20"/>
          <w:szCs w:val="20"/>
          <w:color w:val="auto"/>
        </w:rPr>
      </w:pPr>
      <w:r>
        <w:rPr>
          <w:rFonts w:ascii="Times New Roman" w:cs="Times New Roman" w:eastAsia="Times New Roman" w:hAnsi="Times New Roman"/>
          <w:sz w:val="21"/>
          <w:szCs w:val="21"/>
          <w:b w:val="1"/>
          <w:bCs w:val="1"/>
          <w:color w:val="auto"/>
        </w:rPr>
        <w:t xml:space="preserve">As of October 31, 2022: </w:t>
      </w:r>
      <w:r>
        <w:rPr>
          <w:rFonts w:ascii="Times New Roman" w:cs="Times New Roman" w:eastAsia="Times New Roman" w:hAnsi="Times New Roman"/>
          <w:sz w:val="21"/>
          <w:szCs w:val="21"/>
          <w:color w:val="auto"/>
        </w:rPr>
        <w:t>The Reporting Person may be deemed to beneficially own 1,150,568 shares of Class A Common</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Stock as of October 31, 2022. All of the 1,150,568 shares of Class A Common Stock reported in this Statement as beneficially owned by Clal as of such date are held for members of the public through, among others, provident funds and/or pension funds and/or insurance policies, which are managed by subsidiaries of Clal, which subsidiaries operate under independent management and make independent voting and investment decisions. Consequently, this Statement shall not be construed as an admission by Clal, that it is the beneficial owner of any of the shares of Class A Common Stock covered by this Statement.</w:t>
      </w:r>
    </w:p>
    <w:p>
      <w:pPr>
        <w:spacing w:after="0" w:line="222" w:lineRule="exact"/>
        <w:rPr>
          <w:sz w:val="20"/>
          <w:szCs w:val="20"/>
          <w:color w:val="auto"/>
        </w:rPr>
      </w:pPr>
    </w:p>
    <w:p>
      <w:pPr>
        <w:jc w:val="both"/>
        <w:ind w:firstLine="648"/>
        <w:spacing w:after="0" w:line="284" w:lineRule="auto"/>
        <w:rPr>
          <w:sz w:val="20"/>
          <w:szCs w:val="20"/>
          <w:color w:val="auto"/>
        </w:rPr>
      </w:pPr>
      <w:r>
        <w:rPr>
          <w:rFonts w:ascii="Times New Roman" w:cs="Times New Roman" w:eastAsia="Times New Roman" w:hAnsi="Times New Roman"/>
          <w:sz w:val="22"/>
          <w:szCs w:val="22"/>
          <w:color w:val="auto"/>
        </w:rPr>
        <w:t>Except as set forth above, see items 5-11 of the cover page hereto for beneficial ownership, percentage of class and dispositive power of the Reporting Person, which are incorporated herein.</w:t>
      </w:r>
    </w:p>
    <w:p>
      <w:pPr>
        <w:spacing w:after="0" w:line="207"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As of December 31, 2021: </w:t>
      </w:r>
      <w:r>
        <w:rPr>
          <w:rFonts w:ascii="Times New Roman" w:cs="Times New Roman" w:eastAsia="Times New Roman" w:hAnsi="Times New Roman"/>
          <w:sz w:val="22"/>
          <w:szCs w:val="22"/>
          <w:color w:val="auto"/>
        </w:rPr>
        <w:t>The Reporting Person may be deemed to beneficially own 1,026,567 shares of Class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 Stock as of December 31, 2021. All of the 1,026,567 shares of Class A Common Stock reported in this Statement as beneficially owned by Clal as of such date are held for members of the public through, among others, provident funds and/or pension funds and/or insurance policies, which are managed by subsidiaries of Clal, which subsidiaries operate under independent management and make independent voting and investment decisions. Consequently, this Statement shall not be</w:t>
      </w:r>
    </w:p>
    <w:p>
      <w:pPr>
        <w:sectPr>
          <w:pgSz w:w="11900" w:h="16838" w:orient="portrait"/>
          <w:cols w:equalWidth="0" w:num="1">
            <w:col w:w="11240"/>
          </w:cols>
          <w:pgMar w:left="320" w:top="122" w:right="339" w:bottom="0" w:gutter="0" w:footer="0" w:header="0"/>
        </w:sectPr>
      </w:pPr>
    </w:p>
    <w:bookmarkStart w:id="3" w:name="page4"/>
    <w:bookmarkEnd w:id="3"/>
    <w:p>
      <w:pPr>
        <w:jc w:val="both"/>
        <w:spacing w:after="0" w:line="284" w:lineRule="auto"/>
        <w:rPr>
          <w:sz w:val="20"/>
          <w:szCs w:val="20"/>
          <w:color w:val="auto"/>
        </w:rPr>
      </w:pPr>
      <w:r>
        <w:rPr>
          <w:rFonts w:ascii="Times New Roman" w:cs="Times New Roman" w:eastAsia="Times New Roman" w:hAnsi="Times New Roman"/>
          <w:sz w:val="22"/>
          <w:szCs w:val="22"/>
          <w:color w:val="auto"/>
        </w:rPr>
        <w:t>construed as an admission by Clal, that it is the beneficial owner of any of the shares of Class A Common Stock covered by this Statement.</w:t>
      </w:r>
    </w:p>
    <w:p>
      <w:pPr>
        <w:spacing w:after="0" w:line="207"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As of November 11, 2021: </w:t>
      </w:r>
      <w:r>
        <w:rPr>
          <w:rFonts w:ascii="Times New Roman" w:cs="Times New Roman" w:eastAsia="Times New Roman" w:hAnsi="Times New Roman"/>
          <w:sz w:val="22"/>
          <w:szCs w:val="22"/>
          <w:color w:val="auto"/>
        </w:rPr>
        <w:t>The Reporting Person may be deemed to beneficially own 586,252 shares of Class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 Stock as of November 11, 2021. All of the 586,252 Class A Common Stock reported in this Statement as beneficially owned by Clal as of such date are held for members of the public through, among others, provident funds and/or pension funds and/or insurance policies, which are managed by subsidiaries of Clal, which subsidiaries operate under independent management and make independent voting and investment decisions. Consequently, this Statement shall not be construed as an admission by Clal, that it is the beneficial owner of any of the shares of Class A Common Stock covered by this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270510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Item 5. Ownership of 5 Percent or Less of a Class</w:t>
      </w:r>
    </w:p>
    <w:p>
      <w:pPr>
        <w:spacing w:after="0" w:line="229" w:lineRule="exact"/>
        <w:rPr>
          <w:sz w:val="20"/>
          <w:szCs w:val="20"/>
          <w:color w:val="auto"/>
        </w:rPr>
      </w:pPr>
    </w:p>
    <w:p>
      <w:pPr>
        <w:ind w:left="660"/>
        <w:spacing w:after="0" w:line="235" w:lineRule="exact"/>
        <w:rPr>
          <w:sz w:val="20"/>
          <w:szCs w:val="20"/>
          <w:color w:val="auto"/>
        </w:rPr>
      </w:pPr>
      <w:r>
        <w:rPr>
          <w:rFonts w:ascii="Times New Roman" w:cs="Times New Roman" w:eastAsia="Times New Roman" w:hAnsi="Times New Roman"/>
          <w:sz w:val="18"/>
          <w:szCs w:val="18"/>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Ownership of More than 5 Percent on Behalf of Another Person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Not applicable.</w:t>
      </w:r>
    </w:p>
    <w:p>
      <w:pPr>
        <w:spacing w:after="0" w:line="275" w:lineRule="exact"/>
        <w:rPr>
          <w:sz w:val="20"/>
          <w:szCs w:val="20"/>
          <w:color w:val="auto"/>
        </w:rPr>
      </w:pPr>
    </w:p>
    <w:p>
      <w:pPr>
        <w:ind w:left="660" w:right="180" w:hanging="647"/>
        <w:spacing w:after="0" w:line="286" w:lineRule="auto"/>
        <w:rPr>
          <w:sz w:val="20"/>
          <w:szCs w:val="20"/>
          <w:color w:val="auto"/>
        </w:rPr>
      </w:pPr>
      <w:r>
        <w:rPr>
          <w:rFonts w:ascii="Times New Roman" w:cs="Times New Roman" w:eastAsia="Times New Roman" w:hAnsi="Times New Roman"/>
          <w:sz w:val="18"/>
          <w:szCs w:val="18"/>
          <w:b w:val="1"/>
          <w:bCs w:val="1"/>
          <w:color w:val="auto"/>
        </w:rPr>
        <w:t>Item 7. Identification and Classification of the Subsidiary Which Acquired the Security Being Reported on by the Parent Holding Company or Control Person</w:t>
      </w:r>
    </w:p>
    <w:p>
      <w:pPr>
        <w:spacing w:after="0" w:line="15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Not applicable.</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 Identification and Classification of Members of the Group</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Not applicable.</w:t>
      </w:r>
    </w:p>
    <w:p>
      <w:pPr>
        <w:spacing w:after="0" w:line="275"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7"/>
          <w:szCs w:val="17"/>
          <w:b w:val="1"/>
          <w:bCs w:val="1"/>
          <w:color w:val="auto"/>
        </w:rPr>
        <w:t>Notice of Dissolution of Group</w:t>
      </w:r>
      <w:r>
        <w:rPr>
          <w:rFonts w:ascii="Times New Roman" w:cs="Times New Roman" w:eastAsia="Times New Roman" w:hAnsi="Times New Roman"/>
          <w:sz w:val="17"/>
          <w:szCs w:val="17"/>
          <w:color w:val="auto"/>
        </w:rPr>
        <w:t>Not applicable.</w:t>
      </w:r>
    </w:p>
    <w:p>
      <w:pPr>
        <w:spacing w:after="0" w:line="293"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b w:val="1"/>
          <w:bCs w:val="1"/>
          <w:color w:val="auto"/>
        </w:rPr>
        <w:t>Certifications</w:t>
      </w:r>
    </w:p>
    <w:p>
      <w:pPr>
        <w:spacing w:after="0" w:line="301" w:lineRule="exact"/>
        <w:rPr>
          <w:sz w:val="20"/>
          <w:szCs w:val="20"/>
          <w:color w:val="auto"/>
        </w:rPr>
      </w:pPr>
    </w:p>
    <w:p>
      <w:pPr>
        <w:ind w:left="660" w:right="40"/>
        <w:spacing w:after="0" w:line="265" w:lineRule="auto"/>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7" w:right="399" w:bottom="1440"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91" w:lineRule="exact"/>
        <w:rPr>
          <w:sz w:val="20"/>
          <w:szCs w:val="20"/>
          <w:color w:val="auto"/>
        </w:rPr>
      </w:pPr>
    </w:p>
    <w:p>
      <w:pPr>
        <w:ind w:firstLine="324"/>
        <w:spacing w:after="0" w:line="284"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14, 2022</w:t>
      </w:r>
    </w:p>
    <w:p>
      <w:pPr>
        <w:spacing w:after="0" w:line="293" w:lineRule="exact"/>
        <w:rPr>
          <w:sz w:val="20"/>
          <w:szCs w:val="20"/>
          <w:color w:val="auto"/>
        </w:rPr>
      </w:pPr>
    </w:p>
    <w:p>
      <w:pPr>
        <w:ind w:left="5440"/>
        <w:spacing w:after="0"/>
        <w:rPr>
          <w:sz w:val="20"/>
          <w:szCs w:val="20"/>
          <w:color w:val="auto"/>
        </w:rPr>
      </w:pPr>
      <w:r>
        <w:rPr>
          <w:rFonts w:ascii="Times New Roman" w:cs="Times New Roman" w:eastAsia="Times New Roman" w:hAnsi="Times New Roman"/>
          <w:sz w:val="18"/>
          <w:szCs w:val="18"/>
          <w:color w:val="auto"/>
        </w:rPr>
        <w:t>CLAL INSURANCE ENTERPRISES HOLDINGS LTD.</w:t>
      </w:r>
    </w:p>
    <w:p>
      <w:pPr>
        <w:spacing w:after="0" w:line="239" w:lineRule="exact"/>
        <w:rPr>
          <w:sz w:val="20"/>
          <w:szCs w:val="20"/>
          <w:color w:val="auto"/>
        </w:rPr>
      </w:pPr>
    </w:p>
    <w:p>
      <w:pPr>
        <w:ind w:left="5440"/>
        <w:spacing w:after="0"/>
        <w:tabs>
          <w:tab w:leader="none" w:pos="7300" w:val="left"/>
        </w:tabs>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Eran Czerninski</w:t>
      </w:r>
      <w:r>
        <w:rPr>
          <w:sz w:val="20"/>
          <w:szCs w:val="20"/>
          <w:color w:val="auto"/>
        </w:rPr>
        <w:tab/>
      </w:r>
      <w:r>
        <w:rPr>
          <w:rFonts w:ascii="Times New Roman" w:cs="Times New Roman" w:eastAsia="Times New Roman" w:hAnsi="Times New Roman"/>
          <w:sz w:val="17"/>
          <w:szCs w:val="17"/>
          <w:u w:val="single" w:color="auto"/>
          <w:color w:val="auto"/>
        </w:rPr>
        <w:t>/s/ Yossi Dory</w:t>
      </w:r>
    </w:p>
    <w:p>
      <w:pPr>
        <w:spacing w:after="0" w:line="27"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8"/>
          <w:szCs w:val="18"/>
          <w:color w:val="auto"/>
        </w:rPr>
        <w:t>Eran Czerninski and Yossi Dory, authorized signatories of</w:t>
      </w:r>
    </w:p>
    <w:p>
      <w:pPr>
        <w:spacing w:after="0" w:line="9"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8"/>
          <w:szCs w:val="18"/>
          <w:color w:val="auto"/>
        </w:rPr>
        <w:t>CLAL INSURANCE ENTERPRISES HOLDINGS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348615</wp:posOffset>
            </wp:positionV>
            <wp:extent cx="713232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240"/>
      </w:cols>
      <w:pgMar w:left="320" w:top="12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
      <w:numFmt w:val="bullet"/>
      <w:start w:val="1"/>
    </w:lvl>
    <w:lvl w:ilvl="1">
      <w:lvlJc w:val="left"/>
      <w:lvlText w:val="☐"/>
      <w:numFmt w:val="bullet"/>
      <w:start w:val="1"/>
    </w:lvl>
  </w:abstractNum>
  <w:abstractNum w:abstractNumId="3">
    <w:nsid w:val="5BD062C2"/>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4">
    <w:nsid w:val="12200854"/>
    <w:multiLevelType w:val="hybridMultilevel"/>
    <w:lvl w:ilvl="0">
      <w:lvlJc w:val="left"/>
      <w:lvlText w:val="%1."/>
      <w:numFmt w:val="decimal"/>
      <w:start w:val="9"/>
    </w:lvl>
  </w:abstractNum>
  <w:abstractNum w:abstractNumId="5">
    <w:nsid w:val="4DB127F8"/>
    <w:multiLevelType w:val="hybridMultilevel"/>
    <w:lvl w:ilvl="0">
      <w:lvlJc w:val="left"/>
      <w:lvlText w:val="%1."/>
      <w:numFmt w:val="decimal"/>
      <w:start w:val="10"/>
    </w:lvl>
  </w:abstractNum>
  <w:abstractNum w:abstractNumId="6">
    <w:nsid w:val="216231B"/>
    <w:multiLevelType w:val="hybridMultilevel"/>
    <w:lvl w:ilvl="0">
      <w:lvlJc w:val="left"/>
      <w:lvlText w:val="*"/>
      <w:numFmt w:val="bullet"/>
      <w:start w:val="1"/>
    </w:lvl>
    <w:lvl w:ilvl="1">
      <w:lvlJc w:val="left"/>
      <w:lvlText w:val="%2."/>
      <w:numFmt w:val="decimal"/>
      <w:start w:val="12"/>
    </w:lvl>
  </w:abstractNum>
  <w:abstractNum w:abstractNumId="7">
    <w:nsid w:val="1F16E9E8"/>
    <w:multiLevelType w:val="hybridMultilevel"/>
    <w:lvl w:ilvl="0">
      <w:lvlJc w:val="left"/>
      <w:lvlText w:val="**"/>
      <w:numFmt w:val="bullet"/>
      <w:start w:val="1"/>
    </w:lvl>
    <w:lvl w:ilvl="1">
      <w:lvlJc w:val="left"/>
      <w:lvlText w:val="%2"/>
      <w:numFmt w:val="decimal"/>
      <w:start w:val="1"/>
    </w:lvl>
  </w:abstractNum>
  <w:abstractNum w:abstractNumId="8">
    <w:nsid w:val="1190CDE7"/>
    <w:multiLevelType w:val="hybridMultilevel"/>
    <w:lvl w:ilvl="0">
      <w:lvlJc w:val="left"/>
      <w:lvlText w:val="(%1)"/>
      <w:numFmt w:val="lowerLetter"/>
      <w:start w:val="1"/>
    </w:lvl>
  </w:abstractNum>
  <w:abstractNum w:abstractNumId="9">
    <w:nsid w:val="66EF438D"/>
    <w:multiLevelType w:val="hybridMultilevel"/>
    <w:lvl w:ilvl="0">
      <w:lvlJc w:val="left"/>
      <w:lvlText w:val="(%1)"/>
      <w:numFmt w:val="lowerLetter"/>
      <w:start w:val="1"/>
    </w:lvl>
  </w:abstractNum>
  <w:abstractNum w:abstractNumId="10">
    <w:nsid w:val="140E0F76"/>
    <w:multiLevelType w:val="hybridMultilevel"/>
    <w:lvl w:ilvl="0">
      <w:lvlJc w:val="left"/>
      <w:lvlText w:val="(%1)"/>
      <w:numFmt w:val="lowerLetter"/>
      <w:start w:val="2"/>
    </w:lvl>
  </w:abstractNum>
  <w:abstractNum w:abstractNumId="11">
    <w:nsid w:val="3352255A"/>
    <w:multiLevelType w:val="hybridMultilevel"/>
    <w:lvl w:ilvl="0">
      <w:lvlJc w:val="left"/>
      <w:lvlText w:val="(%1)"/>
      <w:numFmt w:val="lowerLetter"/>
      <w:start w:val="3"/>
    </w:lvl>
  </w:abstractNum>
  <w:abstractNum w:abstractNumId="12">
    <w:nsid w:val="109CF92E"/>
    <w:multiLevelType w:val="hybridMultilevel"/>
    <w:lvl w:ilvl="0">
      <w:lvlJc w:val="left"/>
      <w:lvlText w:val="(%1)"/>
      <w:numFmt w:val="lowerLetter"/>
      <w:start w:val="4"/>
    </w:lvl>
  </w:abstractNum>
  <w:abstractNum w:abstractNumId="13">
    <w:nsid w:val="DED7263"/>
    <w:multiLevelType w:val="hybridMultilevel"/>
    <w:lvl w:ilvl="0">
      <w:lvlJc w:val="left"/>
      <w:lvlText w:val="(%1)"/>
      <w:numFmt w:val="lowerLetter"/>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2022-11-14T09:23:01Z</dcterms:created>
  <dcterms:modified xsi:type="dcterms:W3CDTF">2022-11-14T09:23:01Z</dcterms:modified>
</cp:coreProperties>
</file>