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3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-237490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628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-618490</wp:posOffset>
            </wp:positionV>
            <wp:extent cx="57785" cy="631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3970020</wp:posOffset>
            </wp:positionH>
            <wp:positionV relativeFrom="paragraph">
              <wp:posOffset>-618490</wp:posOffset>
            </wp:positionV>
            <wp:extent cx="57785" cy="631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21590</wp:posOffset>
            </wp:positionV>
            <wp:extent cx="6995160" cy="4432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43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40"/>
            <w:col w:w="850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Ng Kwok Hang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500 BEN FRANKLIN CT.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Backblaze, Inc.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BLZE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04/11/2022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60" w:firstLine="4"/>
        <w:spacing w:after="0" w:line="253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1756" w:val="left"/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23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MATEO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94401</w:t>
            </w: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04/11/2022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564,000</w:t>
            </w:r>
          </w:p>
        </w:tc>
        <w:tc>
          <w:tcPr>
            <w:tcW w:w="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564,000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4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Class B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  <w:w w:val="97"/>
              </w:rPr>
              <w:t>Class A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564,000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ind w:right="181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04/11/2022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</w:t>
            </w:r>
          </w:p>
        </w:tc>
        <w:tc>
          <w:tcPr>
            <w:tcW w:w="940" w:type="dxa"/>
            <w:vAlign w:val="bottom"/>
          </w:tcPr>
          <w:p>
            <w:pPr>
              <w:ind w:left="4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564,000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2,326,321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7007225</wp:posOffset>
            </wp:positionH>
            <wp:positionV relativeFrom="paragraph">
              <wp:posOffset>-1742440</wp:posOffset>
            </wp:positionV>
            <wp:extent cx="28575" cy="17475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Each share of Class B Common Stock is convertible into one share of Class A Common Stock at any time at the option of the Reporting Person and has no expiration date.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Thomas MacMitchell 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04/13/2022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Attorney-in-Fact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2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82791" TargetMode="External"/><Relationship Id="rId13" Type="http://schemas.openxmlformats.org/officeDocument/2006/relationships/hyperlink" Target="http://www.sec.gov/cgi-bin/browse-edgar?action=getcompany&amp;CIK=00014620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2022-04-13T15:57:26Z</dcterms:created>
  <dcterms:modified xsi:type="dcterms:W3CDTF">2022-04-13T15:57:26Z</dcterms:modified>
</cp:coreProperties>
</file>