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276860</wp:posOffset>
            </wp:positionH>
            <wp:positionV relativeFrom="page">
              <wp:posOffset>157480</wp:posOffset>
            </wp:positionV>
            <wp:extent cx="5503545" cy="11055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5503545" cy="1105535"/>
                    </a:xfrm>
                    <a:prstGeom prst="rect">
                      <a:avLst/>
                    </a:prstGeom>
                    <a:noFill/>
                  </pic:spPr>
                </pic:pic>
              </a:graphicData>
            </a:graphic>
          </wp:anchor>
        </w:drawing>
      </w:r>
    </w:p>
    <w:p>
      <w:pPr>
        <w:spacing w:after="0" w:line="200" w:lineRule="exact"/>
        <w:rPr>
          <w:sz w:val="24"/>
          <w:szCs w:val="24"/>
          <w:color w:val="auto"/>
        </w:rPr>
      </w:pPr>
    </w:p>
    <w:p>
      <w:pPr>
        <w:spacing w:after="0" w:line="351" w:lineRule="exact"/>
        <w:rPr>
          <w:sz w:val="24"/>
          <w:szCs w:val="24"/>
          <w:color w:val="auto"/>
        </w:rPr>
      </w:pPr>
    </w:p>
    <w:p>
      <w:pPr>
        <w:ind w:left="4"/>
        <w:spacing w:after="0"/>
        <w:rPr>
          <w:sz w:val="20"/>
          <w:szCs w:val="20"/>
          <w:color w:val="auto"/>
        </w:rPr>
      </w:pPr>
      <w:r>
        <w:rPr>
          <w:rFonts w:ascii="Arial" w:cs="Arial" w:eastAsia="Arial" w:hAnsi="Arial"/>
          <w:sz w:val="18"/>
          <w:szCs w:val="18"/>
          <w:color w:val="auto"/>
        </w:rPr>
        <w:t>November 2, 2021</w:t>
      </w:r>
    </w:p>
    <w:p>
      <w:pPr>
        <w:spacing w:after="0" w:line="333" w:lineRule="exact"/>
        <w:rPr>
          <w:sz w:val="24"/>
          <w:szCs w:val="24"/>
          <w:color w:val="auto"/>
        </w:rPr>
      </w:pPr>
    </w:p>
    <w:p>
      <w:pPr>
        <w:ind w:left="4"/>
        <w:spacing w:after="0"/>
        <w:rPr>
          <w:sz w:val="20"/>
          <w:szCs w:val="20"/>
          <w:color w:val="auto"/>
        </w:rPr>
      </w:pPr>
      <w:r>
        <w:rPr>
          <w:rFonts w:ascii="Arial" w:cs="Arial" w:eastAsia="Arial" w:hAnsi="Arial"/>
          <w:sz w:val="18"/>
          <w:szCs w:val="18"/>
          <w:b w:val="1"/>
          <w:bCs w:val="1"/>
          <w:i w:val="1"/>
          <w:iCs w:val="1"/>
          <w:color w:val="auto"/>
        </w:rPr>
        <w:t>VIA EDGAR</w:t>
      </w:r>
    </w:p>
    <w:p>
      <w:pPr>
        <w:spacing w:after="0" w:line="117" w:lineRule="exact"/>
        <w:rPr>
          <w:sz w:val="24"/>
          <w:szCs w:val="24"/>
          <w:color w:val="auto"/>
        </w:rPr>
      </w:pPr>
    </w:p>
    <w:p>
      <w:pPr>
        <w:ind w:left="4"/>
        <w:spacing w:after="0"/>
        <w:rPr>
          <w:sz w:val="20"/>
          <w:szCs w:val="20"/>
          <w:color w:val="auto"/>
        </w:rPr>
      </w:pPr>
      <w:r>
        <w:rPr>
          <w:rFonts w:ascii="Arial" w:cs="Arial" w:eastAsia="Arial" w:hAnsi="Arial"/>
          <w:sz w:val="18"/>
          <w:szCs w:val="18"/>
          <w:color w:val="auto"/>
        </w:rPr>
        <w:t>United States Securities and Exchange Commission</w:t>
      </w:r>
    </w:p>
    <w:p>
      <w:pPr>
        <w:spacing w:after="0" w:line="23" w:lineRule="exact"/>
        <w:rPr>
          <w:sz w:val="24"/>
          <w:szCs w:val="24"/>
          <w:color w:val="auto"/>
        </w:rPr>
      </w:pPr>
    </w:p>
    <w:p>
      <w:pPr>
        <w:ind w:left="4"/>
        <w:spacing w:after="0"/>
        <w:rPr>
          <w:sz w:val="20"/>
          <w:szCs w:val="20"/>
          <w:color w:val="auto"/>
        </w:rPr>
      </w:pPr>
      <w:r>
        <w:rPr>
          <w:rFonts w:ascii="Arial" w:cs="Arial" w:eastAsia="Arial" w:hAnsi="Arial"/>
          <w:sz w:val="18"/>
          <w:szCs w:val="18"/>
          <w:color w:val="auto"/>
        </w:rPr>
        <w:t>Division of Corporation Finance</w:t>
      </w:r>
    </w:p>
    <w:p>
      <w:pPr>
        <w:spacing w:after="0" w:line="9" w:lineRule="exact"/>
        <w:rPr>
          <w:sz w:val="24"/>
          <w:szCs w:val="24"/>
          <w:color w:val="auto"/>
        </w:rPr>
      </w:pPr>
    </w:p>
    <w:p>
      <w:pPr>
        <w:ind w:left="4"/>
        <w:spacing w:after="0"/>
        <w:rPr>
          <w:sz w:val="20"/>
          <w:szCs w:val="20"/>
          <w:color w:val="auto"/>
        </w:rPr>
      </w:pPr>
      <w:r>
        <w:rPr>
          <w:rFonts w:ascii="Arial" w:cs="Arial" w:eastAsia="Arial" w:hAnsi="Arial"/>
          <w:sz w:val="18"/>
          <w:szCs w:val="18"/>
          <w:color w:val="auto"/>
        </w:rPr>
        <w:t>100 F. Street, N.E.</w:t>
      </w:r>
    </w:p>
    <w:p>
      <w:pPr>
        <w:spacing w:after="0" w:line="9" w:lineRule="exact"/>
        <w:rPr>
          <w:sz w:val="24"/>
          <w:szCs w:val="24"/>
          <w:color w:val="auto"/>
        </w:rPr>
      </w:pPr>
    </w:p>
    <w:p>
      <w:pPr>
        <w:ind w:left="4"/>
        <w:spacing w:after="0"/>
        <w:rPr>
          <w:sz w:val="20"/>
          <w:szCs w:val="20"/>
          <w:color w:val="auto"/>
        </w:rPr>
      </w:pPr>
      <w:r>
        <w:rPr>
          <w:rFonts w:ascii="Arial" w:cs="Arial" w:eastAsia="Arial" w:hAnsi="Arial"/>
          <w:sz w:val="18"/>
          <w:szCs w:val="18"/>
          <w:color w:val="auto"/>
        </w:rPr>
        <w:t>Washington, D.C. 20549</w:t>
      </w:r>
    </w:p>
    <w:p>
      <w:pPr>
        <w:spacing w:after="0" w:line="238" w:lineRule="exact"/>
        <w:rPr>
          <w:sz w:val="24"/>
          <w:szCs w:val="24"/>
          <w:color w:val="auto"/>
        </w:rPr>
      </w:pPr>
    </w:p>
    <w:p>
      <w:pPr>
        <w:ind w:left="64"/>
        <w:spacing w:after="0"/>
        <w:tabs>
          <w:tab w:leader="none" w:pos="984" w:val="left"/>
        </w:tabs>
        <w:rPr>
          <w:sz w:val="20"/>
          <w:szCs w:val="20"/>
          <w:color w:val="auto"/>
        </w:rPr>
      </w:pPr>
      <w:r>
        <w:rPr>
          <w:rFonts w:ascii="Arial" w:cs="Arial" w:eastAsia="Arial" w:hAnsi="Arial"/>
          <w:sz w:val="18"/>
          <w:szCs w:val="18"/>
          <w:color w:val="auto"/>
        </w:rPr>
        <w:t>Attention:</w:t>
        <w:tab/>
        <w:t>Jan Woo</w:t>
      </w:r>
    </w:p>
    <w:p>
      <w:pPr>
        <w:spacing w:after="0" w:line="23" w:lineRule="exact"/>
        <w:rPr>
          <w:sz w:val="24"/>
          <w:szCs w:val="24"/>
          <w:color w:val="auto"/>
        </w:rPr>
      </w:pPr>
    </w:p>
    <w:p>
      <w:pPr>
        <w:ind w:left="1004"/>
        <w:spacing w:after="0"/>
        <w:rPr>
          <w:sz w:val="20"/>
          <w:szCs w:val="20"/>
          <w:color w:val="auto"/>
        </w:rPr>
      </w:pPr>
      <w:r>
        <w:rPr>
          <w:rFonts w:ascii="Arial" w:cs="Arial" w:eastAsia="Arial" w:hAnsi="Arial"/>
          <w:sz w:val="18"/>
          <w:szCs w:val="18"/>
          <w:color w:val="auto"/>
        </w:rPr>
        <w:t>Stephen Krikorian</w:t>
      </w:r>
    </w:p>
    <w:p>
      <w:pPr>
        <w:spacing w:after="0" w:line="9" w:lineRule="exact"/>
        <w:rPr>
          <w:sz w:val="24"/>
          <w:szCs w:val="24"/>
          <w:color w:val="auto"/>
        </w:rPr>
      </w:pPr>
    </w:p>
    <w:p>
      <w:pPr>
        <w:ind w:left="1004"/>
        <w:spacing w:after="0"/>
        <w:rPr>
          <w:sz w:val="20"/>
          <w:szCs w:val="20"/>
          <w:color w:val="auto"/>
        </w:rPr>
      </w:pPr>
      <w:r>
        <w:rPr>
          <w:rFonts w:ascii="Arial" w:cs="Arial" w:eastAsia="Arial" w:hAnsi="Arial"/>
          <w:sz w:val="18"/>
          <w:szCs w:val="18"/>
          <w:color w:val="auto"/>
        </w:rPr>
        <w:t>Kathleen Krebs</w:t>
      </w:r>
    </w:p>
    <w:p>
      <w:pPr>
        <w:spacing w:after="0" w:line="9" w:lineRule="exact"/>
        <w:rPr>
          <w:sz w:val="24"/>
          <w:szCs w:val="24"/>
          <w:color w:val="auto"/>
        </w:rPr>
      </w:pPr>
    </w:p>
    <w:p>
      <w:pPr>
        <w:ind w:left="1004"/>
        <w:spacing w:after="0"/>
        <w:rPr>
          <w:sz w:val="20"/>
          <w:szCs w:val="20"/>
          <w:color w:val="auto"/>
        </w:rPr>
      </w:pPr>
      <w:r>
        <w:rPr>
          <w:rFonts w:ascii="Arial" w:cs="Arial" w:eastAsia="Arial" w:hAnsi="Arial"/>
          <w:sz w:val="18"/>
          <w:szCs w:val="18"/>
          <w:color w:val="auto"/>
        </w:rPr>
        <w:t>Amanda Kim</w:t>
      </w:r>
    </w:p>
    <w:p>
      <w:pPr>
        <w:spacing w:after="0" w:line="207" w:lineRule="exact"/>
        <w:rPr>
          <w:sz w:val="24"/>
          <w:szCs w:val="24"/>
          <w:color w:val="auto"/>
        </w:rPr>
      </w:pPr>
    </w:p>
    <w:p>
      <w:pPr>
        <w:ind w:left="564"/>
        <w:spacing w:after="0"/>
        <w:tabs>
          <w:tab w:leader="none" w:pos="984" w:val="left"/>
        </w:tabs>
        <w:rPr>
          <w:sz w:val="20"/>
          <w:szCs w:val="20"/>
          <w:color w:val="auto"/>
        </w:rPr>
      </w:pPr>
      <w:r>
        <w:rPr>
          <w:rFonts w:ascii="Arial" w:cs="Arial" w:eastAsia="Arial" w:hAnsi="Arial"/>
          <w:sz w:val="18"/>
          <w:szCs w:val="18"/>
          <w:b w:val="1"/>
          <w:bCs w:val="1"/>
          <w:color w:val="auto"/>
        </w:rPr>
        <w:t>Re:</w:t>
      </w:r>
      <w:r>
        <w:rPr>
          <w:sz w:val="20"/>
          <w:szCs w:val="20"/>
          <w:color w:val="auto"/>
        </w:rPr>
        <w:tab/>
      </w:r>
      <w:r>
        <w:rPr>
          <w:rFonts w:ascii="Arial" w:cs="Arial" w:eastAsia="Arial" w:hAnsi="Arial"/>
          <w:sz w:val="16"/>
          <w:szCs w:val="16"/>
          <w:b w:val="1"/>
          <w:bCs w:val="1"/>
          <w:color w:val="auto"/>
        </w:rPr>
        <w:t>Backblaze, Inc.</w:t>
      </w:r>
    </w:p>
    <w:p>
      <w:pPr>
        <w:spacing w:after="0" w:line="27" w:lineRule="exact"/>
        <w:rPr>
          <w:sz w:val="24"/>
          <w:szCs w:val="24"/>
          <w:color w:val="auto"/>
        </w:rPr>
      </w:pPr>
    </w:p>
    <w:p>
      <w:pPr>
        <w:ind w:left="1004"/>
        <w:spacing w:after="0"/>
        <w:rPr>
          <w:sz w:val="20"/>
          <w:szCs w:val="20"/>
          <w:color w:val="auto"/>
        </w:rPr>
      </w:pPr>
      <w:r>
        <w:rPr>
          <w:rFonts w:ascii="Arial" w:cs="Arial" w:eastAsia="Arial" w:hAnsi="Arial"/>
          <w:sz w:val="18"/>
          <w:szCs w:val="18"/>
          <w:b w:val="1"/>
          <w:bCs w:val="1"/>
          <w:color w:val="auto"/>
        </w:rPr>
        <w:t>Registration Statement on Form S-1 (File No. 333-260333)</w:t>
      </w:r>
    </w:p>
    <w:p>
      <w:pPr>
        <w:spacing w:after="0" w:line="9" w:lineRule="exact"/>
        <w:rPr>
          <w:sz w:val="24"/>
          <w:szCs w:val="24"/>
          <w:color w:val="auto"/>
        </w:rPr>
      </w:pPr>
    </w:p>
    <w:p>
      <w:pPr>
        <w:ind w:left="1004"/>
        <w:spacing w:after="0"/>
        <w:rPr>
          <w:sz w:val="20"/>
          <w:szCs w:val="20"/>
          <w:color w:val="auto"/>
        </w:rPr>
      </w:pPr>
      <w:r>
        <w:rPr>
          <w:rFonts w:ascii="Arial" w:cs="Arial" w:eastAsia="Arial" w:hAnsi="Arial"/>
          <w:sz w:val="18"/>
          <w:szCs w:val="18"/>
          <w:b w:val="1"/>
          <w:bCs w:val="1"/>
          <w:color w:val="auto"/>
        </w:rPr>
        <w:t>Filed October 18, 2021</w:t>
      </w:r>
    </w:p>
    <w:p>
      <w:pPr>
        <w:spacing w:after="0" w:line="9" w:lineRule="exact"/>
        <w:rPr>
          <w:sz w:val="24"/>
          <w:szCs w:val="24"/>
          <w:color w:val="auto"/>
        </w:rPr>
      </w:pPr>
    </w:p>
    <w:p>
      <w:pPr>
        <w:ind w:left="1004"/>
        <w:spacing w:after="0"/>
        <w:rPr>
          <w:sz w:val="20"/>
          <w:szCs w:val="20"/>
          <w:color w:val="auto"/>
        </w:rPr>
      </w:pPr>
      <w:r>
        <w:rPr>
          <w:rFonts w:ascii="Arial" w:cs="Arial" w:eastAsia="Arial" w:hAnsi="Arial"/>
          <w:sz w:val="18"/>
          <w:szCs w:val="18"/>
          <w:b w:val="1"/>
          <w:bCs w:val="1"/>
          <w:color w:val="auto"/>
        </w:rPr>
        <w:t>CIK No. 0001462056</w:t>
      </w:r>
    </w:p>
    <w:p>
      <w:pPr>
        <w:spacing w:after="0" w:line="319" w:lineRule="exact"/>
        <w:rPr>
          <w:sz w:val="24"/>
          <w:szCs w:val="24"/>
          <w:color w:val="auto"/>
        </w:rPr>
      </w:pPr>
    </w:p>
    <w:p>
      <w:pPr>
        <w:ind w:left="4"/>
        <w:spacing w:after="0"/>
        <w:rPr>
          <w:sz w:val="20"/>
          <w:szCs w:val="20"/>
          <w:color w:val="auto"/>
        </w:rPr>
      </w:pPr>
      <w:r>
        <w:rPr>
          <w:rFonts w:ascii="Arial" w:cs="Arial" w:eastAsia="Arial" w:hAnsi="Arial"/>
          <w:sz w:val="18"/>
          <w:szCs w:val="18"/>
          <w:color w:val="auto"/>
        </w:rPr>
        <w:t>Ladies and Gentlemen:</w:t>
      </w:r>
    </w:p>
    <w:p>
      <w:pPr>
        <w:spacing w:after="0" w:line="117" w:lineRule="exact"/>
        <w:rPr>
          <w:sz w:val="24"/>
          <w:szCs w:val="24"/>
          <w:color w:val="auto"/>
        </w:rPr>
      </w:pPr>
    </w:p>
    <w:p>
      <w:pPr>
        <w:ind w:left="4" w:firstLine="440"/>
        <w:spacing w:after="0" w:line="259" w:lineRule="auto"/>
        <w:rPr>
          <w:sz w:val="20"/>
          <w:szCs w:val="20"/>
          <w:color w:val="auto"/>
        </w:rPr>
      </w:pPr>
      <w:r>
        <w:rPr>
          <w:rFonts w:ascii="Arial" w:cs="Arial" w:eastAsia="Arial" w:hAnsi="Arial"/>
          <w:sz w:val="18"/>
          <w:szCs w:val="18"/>
          <w:color w:val="auto"/>
        </w:rPr>
        <w:t>On behalf of Backblaze, Inc. (the “</w:t>
      </w:r>
      <w:r>
        <w:rPr>
          <w:rFonts w:ascii="Arial" w:cs="Arial" w:eastAsia="Arial" w:hAnsi="Arial"/>
          <w:sz w:val="18"/>
          <w:szCs w:val="18"/>
          <w:b w:val="1"/>
          <w:bCs w:val="1"/>
          <w:i w:val="1"/>
          <w:iCs w:val="1"/>
          <w:color w:val="auto"/>
        </w:rPr>
        <w:t>Company”), this letter responds to the comments set forth in the letter to the Company dated October 29,</w:t>
      </w:r>
      <w:r>
        <w:rPr>
          <w:rFonts w:ascii="Arial" w:cs="Arial" w:eastAsia="Arial" w:hAnsi="Arial"/>
          <w:sz w:val="18"/>
          <w:szCs w:val="18"/>
          <w:color w:val="auto"/>
        </w:rPr>
        <w:t xml:space="preserve"> </w:t>
      </w:r>
      <w:r>
        <w:rPr>
          <w:rFonts w:ascii="Arial" w:cs="Arial" w:eastAsia="Arial" w:hAnsi="Arial"/>
          <w:sz w:val="18"/>
          <w:szCs w:val="18"/>
          <w:b w:val="1"/>
          <w:bCs w:val="1"/>
          <w:i w:val="1"/>
          <w:iCs w:val="1"/>
          <w:color w:val="auto"/>
        </w:rPr>
        <w:t>2021 from the staff of the Securities and Exchange Commission (the “Staff”), with respect to the above-referenced Registration Statement. For your convenience, we have repeated and numbered the comments from the October 29, 2021 letter in italicized print, and the Company’s responses are provided below each comment.</w:t>
      </w:r>
    </w:p>
    <w:p>
      <w:pPr>
        <w:spacing w:after="0" w:line="187" w:lineRule="exact"/>
        <w:rPr>
          <w:sz w:val="24"/>
          <w:szCs w:val="24"/>
          <w:color w:val="auto"/>
        </w:rPr>
      </w:pPr>
    </w:p>
    <w:p>
      <w:pPr>
        <w:ind w:left="4" w:right="180" w:firstLine="440"/>
        <w:spacing w:after="0" w:line="277" w:lineRule="auto"/>
        <w:rPr>
          <w:sz w:val="20"/>
          <w:szCs w:val="20"/>
          <w:color w:val="auto"/>
        </w:rPr>
      </w:pPr>
      <w:r>
        <w:rPr>
          <w:rFonts w:ascii="Arial" w:cs="Arial" w:eastAsia="Arial" w:hAnsi="Arial"/>
          <w:sz w:val="18"/>
          <w:szCs w:val="18"/>
          <w:color w:val="auto"/>
        </w:rPr>
        <w:t>On behalf of the Company, we are also electronically transmitting for submission an amended version of the Company’s Registration Statement on Form S-1 (“</w:t>
      </w:r>
      <w:r>
        <w:rPr>
          <w:rFonts w:ascii="Arial" w:cs="Arial" w:eastAsia="Arial" w:hAnsi="Arial"/>
          <w:sz w:val="18"/>
          <w:szCs w:val="18"/>
          <w:b w:val="1"/>
          <w:bCs w:val="1"/>
          <w:i w:val="1"/>
          <w:iCs w:val="1"/>
          <w:color w:val="auto"/>
        </w:rPr>
        <w:t>Amended Registration Statement</w:t>
      </w:r>
      <w:r>
        <w:rPr>
          <w:rFonts w:ascii="Arial" w:cs="Arial" w:eastAsia="Arial" w:hAnsi="Arial"/>
          <w:sz w:val="18"/>
          <w:szCs w:val="18"/>
          <w:color w:val="auto"/>
        </w:rPr>
        <w:t>”).</w:t>
      </w:r>
    </w:p>
    <w:p>
      <w:pPr>
        <w:spacing w:after="0" w:line="274" w:lineRule="exact"/>
        <w:rPr>
          <w:sz w:val="24"/>
          <w:szCs w:val="24"/>
          <w:color w:val="auto"/>
        </w:rPr>
      </w:pPr>
    </w:p>
    <w:p>
      <w:pPr>
        <w:ind w:left="4"/>
        <w:spacing w:after="0"/>
        <w:rPr>
          <w:sz w:val="20"/>
          <w:szCs w:val="20"/>
          <w:color w:val="auto"/>
        </w:rPr>
      </w:pPr>
      <w:r>
        <w:rPr>
          <w:rFonts w:ascii="Arial" w:cs="Arial" w:eastAsia="Arial" w:hAnsi="Arial"/>
          <w:sz w:val="18"/>
          <w:szCs w:val="18"/>
          <w:b w:val="1"/>
          <w:bCs w:val="1"/>
          <w:u w:val="single" w:color="auto"/>
          <w:color w:val="auto"/>
        </w:rPr>
        <w:t>Registration Statement on Form S-1</w:t>
      </w:r>
    </w:p>
    <w:p>
      <w:pPr>
        <w:spacing w:after="0" w:line="117" w:lineRule="exact"/>
        <w:rPr>
          <w:sz w:val="24"/>
          <w:szCs w:val="24"/>
          <w:color w:val="auto"/>
        </w:rPr>
      </w:pPr>
    </w:p>
    <w:p>
      <w:pPr>
        <w:ind w:left="4"/>
        <w:spacing w:after="0"/>
        <w:rPr>
          <w:sz w:val="20"/>
          <w:szCs w:val="20"/>
          <w:color w:val="auto"/>
        </w:rPr>
      </w:pPr>
      <w:r>
        <w:rPr>
          <w:rFonts w:ascii="Arial" w:cs="Arial" w:eastAsia="Arial" w:hAnsi="Arial"/>
          <w:sz w:val="18"/>
          <w:szCs w:val="18"/>
          <w:b w:val="1"/>
          <w:bCs w:val="1"/>
          <w:u w:val="single" w:color="auto"/>
          <w:color w:val="auto"/>
        </w:rPr>
        <w:t>Management’s Discussion and Analysis of Financial Condition and Results of Operations Key Business Metrics, page 66</w:t>
      </w:r>
    </w:p>
    <w:p>
      <w:pPr>
        <w:spacing w:after="0" w:line="135" w:lineRule="exact"/>
        <w:rPr>
          <w:sz w:val="24"/>
          <w:szCs w:val="24"/>
          <w:color w:val="auto"/>
        </w:rPr>
      </w:pPr>
    </w:p>
    <w:p>
      <w:pPr>
        <w:ind w:left="424" w:right="140" w:hanging="424"/>
        <w:spacing w:after="0" w:line="311" w:lineRule="auto"/>
        <w:tabs>
          <w:tab w:leader="none" w:pos="424" w:val="left"/>
        </w:tabs>
        <w:numPr>
          <w:ilvl w:val="0"/>
          <w:numId w:val="1"/>
        </w:numPr>
        <w:rPr>
          <w:rFonts w:ascii="Arial" w:cs="Arial" w:eastAsia="Arial" w:hAnsi="Arial"/>
          <w:sz w:val="16"/>
          <w:szCs w:val="16"/>
          <w:b w:val="1"/>
          <w:bCs w:val="1"/>
          <w:i w:val="1"/>
          <w:iCs w:val="1"/>
          <w:color w:val="auto"/>
        </w:rPr>
      </w:pPr>
      <w:r>
        <w:rPr>
          <w:rFonts w:ascii="Arial" w:cs="Arial" w:eastAsia="Arial" w:hAnsi="Arial"/>
          <w:sz w:val="16"/>
          <w:szCs w:val="16"/>
          <w:b w:val="1"/>
          <w:bCs w:val="1"/>
          <w:i w:val="1"/>
          <w:iCs w:val="1"/>
          <w:color w:val="auto"/>
        </w:rPr>
        <w:t>In response to prior comment 2, you provided key business metrics for your segments for the quarter ended June 30, 2021; however, you provided key business metrics at the company level for fiscal year 2019, fiscal year 2020, and for quarterly periods. Please provide disclosure of the key business metrics for your segments for the same periods as you provided at the company level.</w:t>
      </w:r>
    </w:p>
    <w:p>
      <w:pPr>
        <w:sectPr>
          <w:pgSz w:w="11900" w:h="16838" w:orient="portrait"/>
          <w:cols w:equalWidth="0" w:num="1">
            <w:col w:w="10964"/>
          </w:cols>
          <w:pgMar w:left="436" w:top="1440" w:right="499" w:bottom="1440" w:gutter="0" w:footer="0" w:header="0"/>
        </w:sectPr>
      </w:pPr>
    </w:p>
    <w:bookmarkStart w:id="1" w:name="page2"/>
    <w:bookmarkEnd w:id="1"/>
    <w:p>
      <w:pPr>
        <w:ind w:left="4"/>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Securities and Exchange Commission</w:t>
      </w:r>
    </w:p>
    <w:p>
      <w:pPr>
        <w:spacing w:after="0" w:line="23" w:lineRule="exact"/>
        <w:rPr>
          <w:sz w:val="20"/>
          <w:szCs w:val="20"/>
          <w:color w:val="auto"/>
        </w:rPr>
      </w:pPr>
    </w:p>
    <w:p>
      <w:pPr>
        <w:ind w:left="4"/>
        <w:spacing w:after="0"/>
        <w:rPr>
          <w:sz w:val="20"/>
          <w:szCs w:val="20"/>
          <w:color w:val="auto"/>
        </w:rPr>
      </w:pPr>
      <w:r>
        <w:rPr>
          <w:rFonts w:ascii="Arial" w:cs="Arial" w:eastAsia="Arial" w:hAnsi="Arial"/>
          <w:sz w:val="18"/>
          <w:szCs w:val="18"/>
          <w:color w:val="auto"/>
        </w:rPr>
        <w:t>November 2, 2021</w:t>
      </w:r>
    </w:p>
    <w:p>
      <w:pPr>
        <w:spacing w:after="0" w:line="9" w:lineRule="exact"/>
        <w:rPr>
          <w:sz w:val="20"/>
          <w:szCs w:val="20"/>
          <w:color w:val="auto"/>
        </w:rPr>
      </w:pPr>
    </w:p>
    <w:p>
      <w:pPr>
        <w:ind w:left="4"/>
        <w:spacing w:after="0"/>
        <w:rPr>
          <w:sz w:val="20"/>
          <w:szCs w:val="20"/>
          <w:color w:val="auto"/>
        </w:rPr>
      </w:pPr>
      <w:r>
        <w:rPr>
          <w:rFonts w:ascii="Arial" w:cs="Arial" w:eastAsia="Arial" w:hAnsi="Arial"/>
          <w:sz w:val="18"/>
          <w:szCs w:val="18"/>
          <w:color w:val="auto"/>
        </w:rPr>
        <w:t>Page 2</w:t>
      </w:r>
    </w:p>
    <w:p>
      <w:pPr>
        <w:spacing w:after="0" w:line="143" w:lineRule="exact"/>
        <w:rPr>
          <w:sz w:val="20"/>
          <w:szCs w:val="20"/>
          <w:color w:val="auto"/>
        </w:rPr>
      </w:pPr>
    </w:p>
    <w:p>
      <w:pPr>
        <w:ind w:left="444"/>
        <w:spacing w:after="0"/>
        <w:rPr>
          <w:sz w:val="20"/>
          <w:szCs w:val="20"/>
          <w:color w:val="auto"/>
        </w:rPr>
      </w:pPr>
      <w:r>
        <w:rPr>
          <w:rFonts w:ascii="Arial" w:cs="Arial" w:eastAsia="Arial" w:hAnsi="Arial"/>
          <w:sz w:val="18"/>
          <w:szCs w:val="18"/>
          <w:color w:val="auto"/>
        </w:rPr>
        <w:t>RESPONSE TO COMMENT 1:</w:t>
      </w:r>
    </w:p>
    <w:p>
      <w:pPr>
        <w:spacing w:after="0" w:line="117" w:lineRule="exact"/>
        <w:rPr>
          <w:sz w:val="20"/>
          <w:szCs w:val="20"/>
          <w:color w:val="auto"/>
        </w:rPr>
      </w:pPr>
    </w:p>
    <w:p>
      <w:pPr>
        <w:ind w:left="444"/>
        <w:spacing w:after="0" w:line="277" w:lineRule="auto"/>
        <w:rPr>
          <w:sz w:val="20"/>
          <w:szCs w:val="20"/>
          <w:color w:val="auto"/>
        </w:rPr>
      </w:pPr>
      <w:r>
        <w:rPr>
          <w:rFonts w:ascii="Arial" w:cs="Arial" w:eastAsia="Arial" w:hAnsi="Arial"/>
          <w:sz w:val="18"/>
          <w:szCs w:val="18"/>
          <w:color w:val="auto"/>
        </w:rPr>
        <w:t>The Company has added disclosures on page 68 of the Amended Registration Statement to include key business metrics for B2 Cloud Storage and Computer Backup for the fiscal year 2019, fiscal year 2020, and for the quarterly periods.</w:t>
      </w:r>
    </w:p>
    <w:p>
      <w:pPr>
        <w:spacing w:after="0" w:line="274" w:lineRule="exact"/>
        <w:rPr>
          <w:sz w:val="20"/>
          <w:szCs w:val="20"/>
          <w:color w:val="auto"/>
        </w:rPr>
      </w:pPr>
    </w:p>
    <w:p>
      <w:pPr>
        <w:ind w:left="4"/>
        <w:spacing w:after="0"/>
        <w:rPr>
          <w:sz w:val="20"/>
          <w:szCs w:val="20"/>
          <w:color w:val="auto"/>
        </w:rPr>
      </w:pPr>
      <w:r>
        <w:rPr>
          <w:rFonts w:ascii="Arial" w:cs="Arial" w:eastAsia="Arial" w:hAnsi="Arial"/>
          <w:sz w:val="18"/>
          <w:szCs w:val="18"/>
          <w:b w:val="1"/>
          <w:bCs w:val="1"/>
          <w:u w:val="single" w:color="auto"/>
          <w:color w:val="auto"/>
        </w:rPr>
        <w:t>Notes to Financial Statements</w:t>
      </w:r>
    </w:p>
    <w:p>
      <w:pPr>
        <w:spacing w:after="0" w:line="27" w:lineRule="exact"/>
        <w:rPr>
          <w:sz w:val="20"/>
          <w:szCs w:val="20"/>
          <w:color w:val="auto"/>
        </w:rPr>
      </w:pPr>
    </w:p>
    <w:p>
      <w:pPr>
        <w:ind w:left="4"/>
        <w:spacing w:after="0"/>
        <w:rPr>
          <w:sz w:val="20"/>
          <w:szCs w:val="20"/>
          <w:color w:val="auto"/>
        </w:rPr>
      </w:pPr>
      <w:r>
        <w:rPr>
          <w:rFonts w:ascii="Arial" w:cs="Arial" w:eastAsia="Arial" w:hAnsi="Arial"/>
          <w:sz w:val="18"/>
          <w:szCs w:val="18"/>
          <w:b w:val="1"/>
          <w:bCs w:val="1"/>
          <w:u w:val="single" w:color="auto"/>
          <w:color w:val="auto"/>
        </w:rPr>
        <w:t>Note 18. Subsequent Events (Unaudited), page F-34</w:t>
      </w:r>
    </w:p>
    <w:p>
      <w:pPr>
        <w:spacing w:after="0" w:line="116" w:lineRule="exact"/>
        <w:rPr>
          <w:sz w:val="20"/>
          <w:szCs w:val="20"/>
          <w:color w:val="auto"/>
        </w:rPr>
      </w:pPr>
    </w:p>
    <w:p>
      <w:pPr>
        <w:ind w:left="424" w:right="400" w:hanging="424"/>
        <w:spacing w:after="0" w:line="277" w:lineRule="auto"/>
        <w:tabs>
          <w:tab w:leader="none" w:pos="424" w:val="left"/>
        </w:tabs>
        <w:numPr>
          <w:ilvl w:val="0"/>
          <w:numId w:val="2"/>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If material, please revise to disclose the amount of stock-based compensation associated with each stock award grants subsequent to your quarter end. Refer to ASC 855-10-50-2.</w:t>
      </w:r>
    </w:p>
    <w:p>
      <w:pPr>
        <w:spacing w:after="0" w:line="62" w:lineRule="exact"/>
        <w:rPr>
          <w:rFonts w:ascii="Arial" w:cs="Arial" w:eastAsia="Arial" w:hAnsi="Arial"/>
          <w:sz w:val="18"/>
          <w:szCs w:val="18"/>
          <w:b w:val="1"/>
          <w:bCs w:val="1"/>
          <w:i w:val="1"/>
          <w:iCs w:val="1"/>
          <w:color w:val="auto"/>
        </w:rPr>
      </w:pPr>
    </w:p>
    <w:p>
      <w:pPr>
        <w:ind w:left="444"/>
        <w:spacing w:after="0"/>
        <w:rPr>
          <w:rFonts w:ascii="Arial" w:cs="Arial" w:eastAsia="Arial" w:hAnsi="Arial"/>
          <w:sz w:val="18"/>
          <w:szCs w:val="18"/>
          <w:b w:val="1"/>
          <w:bCs w:val="1"/>
          <w:i w:val="1"/>
          <w:iCs w:val="1"/>
          <w:color w:val="auto"/>
        </w:rPr>
      </w:pPr>
      <w:r>
        <w:rPr>
          <w:rFonts w:ascii="Arial" w:cs="Arial" w:eastAsia="Arial" w:hAnsi="Arial"/>
          <w:sz w:val="18"/>
          <w:szCs w:val="18"/>
          <w:color w:val="auto"/>
        </w:rPr>
        <w:t>RESPONSE TO COMMENT 2:</w:t>
      </w:r>
    </w:p>
    <w:p>
      <w:pPr>
        <w:spacing w:after="0" w:line="117" w:lineRule="exact"/>
        <w:rPr>
          <w:rFonts w:ascii="Arial" w:cs="Arial" w:eastAsia="Arial" w:hAnsi="Arial"/>
          <w:sz w:val="18"/>
          <w:szCs w:val="18"/>
          <w:b w:val="1"/>
          <w:bCs w:val="1"/>
          <w:i w:val="1"/>
          <w:iCs w:val="1"/>
          <w:color w:val="auto"/>
        </w:rPr>
      </w:pPr>
    </w:p>
    <w:p>
      <w:pPr>
        <w:ind w:left="444"/>
        <w:spacing w:after="0" w:line="263" w:lineRule="auto"/>
        <w:rPr>
          <w:rFonts w:ascii="Arial" w:cs="Arial" w:eastAsia="Arial" w:hAnsi="Arial"/>
          <w:sz w:val="18"/>
          <w:szCs w:val="18"/>
          <w:b w:val="1"/>
          <w:bCs w:val="1"/>
          <w:i w:val="1"/>
          <w:iCs w:val="1"/>
          <w:color w:val="auto"/>
        </w:rPr>
      </w:pPr>
      <w:r>
        <w:rPr>
          <w:rFonts w:ascii="Arial" w:cs="Arial" w:eastAsia="Arial" w:hAnsi="Arial"/>
          <w:sz w:val="18"/>
          <w:szCs w:val="18"/>
          <w:color w:val="auto"/>
        </w:rPr>
        <w:t>The Company has added disclosure to the subsequent events note on page F-34 of the Amended Registration Statement to discuss stock-based compensation associated with the stock award grants that were made on August 30, 2021. There were no other grants made subsequent to June 30, 2021.</w:t>
      </w:r>
    </w:p>
    <w:p>
      <w:pPr>
        <w:spacing w:after="0" w:line="288" w:lineRule="exact"/>
        <w:rPr>
          <w:sz w:val="20"/>
          <w:szCs w:val="20"/>
          <w:color w:val="auto"/>
        </w:rPr>
      </w:pPr>
    </w:p>
    <w:p>
      <w:pPr>
        <w:ind w:left="4"/>
        <w:spacing w:after="0"/>
        <w:rPr>
          <w:sz w:val="20"/>
          <w:szCs w:val="20"/>
          <w:color w:val="auto"/>
        </w:rPr>
      </w:pPr>
      <w:r>
        <w:rPr>
          <w:rFonts w:ascii="Arial" w:cs="Arial" w:eastAsia="Arial" w:hAnsi="Arial"/>
          <w:sz w:val="18"/>
          <w:szCs w:val="18"/>
          <w:b w:val="1"/>
          <w:bCs w:val="1"/>
          <w:u w:val="single" w:color="auto"/>
          <w:color w:val="auto"/>
        </w:rPr>
        <w:t>General</w:t>
      </w:r>
    </w:p>
    <w:p>
      <w:pPr>
        <w:spacing w:after="0" w:line="135" w:lineRule="exact"/>
        <w:rPr>
          <w:sz w:val="20"/>
          <w:szCs w:val="20"/>
          <w:color w:val="auto"/>
        </w:rPr>
      </w:pPr>
    </w:p>
    <w:p>
      <w:pPr>
        <w:ind w:left="424" w:right="180" w:hanging="424"/>
        <w:spacing w:after="0" w:line="277" w:lineRule="auto"/>
        <w:tabs>
          <w:tab w:leader="none" w:pos="424" w:val="left"/>
        </w:tabs>
        <w:numPr>
          <w:ilvl w:val="0"/>
          <w:numId w:val="3"/>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Please balance and provide context to the financial and operating data presented on the second page of your prospectus graphics that follow the prospectus cover page. In particular, please address the following:</w:t>
      </w:r>
    </w:p>
    <w:p>
      <w:pPr>
        <w:spacing w:after="0" w:line="75" w:lineRule="exact"/>
        <w:rPr>
          <w:rFonts w:ascii="Arial" w:cs="Arial" w:eastAsia="Arial" w:hAnsi="Arial"/>
          <w:sz w:val="18"/>
          <w:szCs w:val="18"/>
          <w:b w:val="1"/>
          <w:bCs w:val="1"/>
          <w:i w:val="1"/>
          <w:iCs w:val="1"/>
          <w:color w:val="auto"/>
        </w:rPr>
      </w:pPr>
    </w:p>
    <w:p>
      <w:pPr>
        <w:ind w:left="964" w:right="200" w:hanging="424"/>
        <w:spacing w:after="0" w:line="277" w:lineRule="auto"/>
        <w:tabs>
          <w:tab w:leader="none" w:pos="964" w:val="left"/>
        </w:tabs>
        <w:numPr>
          <w:ilvl w:val="1"/>
          <w:numId w:val="3"/>
        </w:numPr>
        <w:rPr>
          <w:rFonts w:ascii="Arial" w:cs="Arial" w:eastAsia="Arial" w:hAnsi="Arial"/>
          <w:sz w:val="18"/>
          <w:szCs w:val="18"/>
          <w:color w:val="auto"/>
        </w:rPr>
      </w:pPr>
      <w:r>
        <w:rPr>
          <w:rFonts w:ascii="Arial" w:cs="Arial" w:eastAsia="Arial" w:hAnsi="Arial"/>
          <w:sz w:val="18"/>
          <w:szCs w:val="18"/>
          <w:b w:val="1"/>
          <w:bCs w:val="1"/>
          <w:i w:val="1"/>
          <w:iCs w:val="1"/>
          <w:color w:val="auto"/>
        </w:rPr>
        <w:t>You disclose that you have 500,000 customers in 175 countries. Please clarify that you generated 72% of your revenues in the United States in fiscal year 2020 and the six months ended June 30, 2021.</w:t>
      </w:r>
    </w:p>
    <w:p>
      <w:pPr>
        <w:spacing w:after="0" w:line="75" w:lineRule="exact"/>
        <w:rPr>
          <w:rFonts w:ascii="Arial" w:cs="Arial" w:eastAsia="Arial" w:hAnsi="Arial"/>
          <w:sz w:val="18"/>
          <w:szCs w:val="18"/>
          <w:color w:val="auto"/>
        </w:rPr>
      </w:pPr>
    </w:p>
    <w:p>
      <w:pPr>
        <w:ind w:left="964" w:right="60" w:hanging="424"/>
        <w:spacing w:after="0" w:line="301" w:lineRule="auto"/>
        <w:tabs>
          <w:tab w:leader="none" w:pos="964" w:val="left"/>
        </w:tabs>
        <w:numPr>
          <w:ilvl w:val="1"/>
          <w:numId w:val="3"/>
        </w:numPr>
        <w:rPr>
          <w:rFonts w:ascii="Arial" w:cs="Arial" w:eastAsia="Arial" w:hAnsi="Arial"/>
          <w:sz w:val="16"/>
          <w:szCs w:val="16"/>
          <w:color w:val="auto"/>
        </w:rPr>
      </w:pPr>
      <w:r>
        <w:rPr>
          <w:rFonts w:ascii="Arial" w:cs="Arial" w:eastAsia="Arial" w:hAnsi="Arial"/>
          <w:sz w:val="16"/>
          <w:szCs w:val="16"/>
          <w:b w:val="1"/>
          <w:bCs w:val="1"/>
          <w:i w:val="1"/>
          <w:iCs w:val="1"/>
          <w:color w:val="auto"/>
        </w:rPr>
        <w:t>We note that you only provide information about your B2 Cloud segment and not your Computer Backup segment. Please balance this information by disclosing that B2 Cloud Storage generated 26.5% of the company’s revenues in 2020 and 32% of revenues for the six months ended June 30, 2021, and Computer Backup generated 72.4% and 67% of the company’s revenues for the same periods, respectively. Also disclose the number of B2 Cloud customers versus the number of Computer Backup customers.</w:t>
      </w:r>
    </w:p>
    <w:p>
      <w:pPr>
        <w:spacing w:after="0" w:line="62" w:lineRule="exact"/>
        <w:rPr>
          <w:rFonts w:ascii="Arial" w:cs="Arial" w:eastAsia="Arial" w:hAnsi="Arial"/>
          <w:sz w:val="16"/>
          <w:szCs w:val="16"/>
          <w:color w:val="auto"/>
        </w:rPr>
      </w:pPr>
    </w:p>
    <w:p>
      <w:pPr>
        <w:ind w:left="964" w:right="320" w:hanging="424"/>
        <w:spacing w:after="0" w:line="308" w:lineRule="auto"/>
        <w:tabs>
          <w:tab w:leader="none" w:pos="964" w:val="left"/>
        </w:tabs>
        <w:numPr>
          <w:ilvl w:val="1"/>
          <w:numId w:val="3"/>
        </w:numPr>
        <w:rPr>
          <w:rFonts w:ascii="Arial" w:cs="Arial" w:eastAsia="Arial" w:hAnsi="Arial"/>
          <w:sz w:val="17"/>
          <w:szCs w:val="17"/>
          <w:color w:val="auto"/>
        </w:rPr>
      </w:pPr>
      <w:r>
        <w:rPr>
          <w:rFonts w:ascii="Arial" w:cs="Arial" w:eastAsia="Arial" w:hAnsi="Arial"/>
          <w:sz w:val="17"/>
          <w:szCs w:val="17"/>
          <w:b w:val="1"/>
          <w:bCs w:val="1"/>
          <w:i w:val="1"/>
          <w:iCs w:val="1"/>
          <w:color w:val="auto"/>
        </w:rPr>
        <w:t>You disclose that the 2025 mid-market opportunity is $55 billion and that B2 Cloud Storage had greater than 60% growth for fiscal year 2020. To provide context, disclose the amount of revenues generated by your B2 Cloud segment.</w:t>
      </w:r>
    </w:p>
    <w:p>
      <w:pPr>
        <w:spacing w:after="0" w:line="38" w:lineRule="exact"/>
        <w:rPr>
          <w:sz w:val="20"/>
          <w:szCs w:val="20"/>
          <w:color w:val="auto"/>
        </w:rPr>
      </w:pPr>
    </w:p>
    <w:p>
      <w:pPr>
        <w:ind w:left="444"/>
        <w:spacing w:after="0"/>
        <w:rPr>
          <w:sz w:val="20"/>
          <w:szCs w:val="20"/>
          <w:color w:val="auto"/>
        </w:rPr>
      </w:pPr>
      <w:r>
        <w:rPr>
          <w:rFonts w:ascii="Arial" w:cs="Arial" w:eastAsia="Arial" w:hAnsi="Arial"/>
          <w:sz w:val="18"/>
          <w:szCs w:val="18"/>
          <w:color w:val="auto"/>
        </w:rPr>
        <w:t>RESPONSE TO COMMENT 3:</w:t>
      </w:r>
    </w:p>
    <w:p>
      <w:pPr>
        <w:spacing w:after="0" w:line="117" w:lineRule="exact"/>
        <w:rPr>
          <w:sz w:val="20"/>
          <w:szCs w:val="20"/>
          <w:color w:val="auto"/>
        </w:rPr>
      </w:pPr>
    </w:p>
    <w:p>
      <w:pPr>
        <w:ind w:left="444" w:right="60"/>
        <w:spacing w:after="0" w:line="272" w:lineRule="auto"/>
        <w:rPr>
          <w:sz w:val="20"/>
          <w:szCs w:val="20"/>
          <w:color w:val="auto"/>
        </w:rPr>
      </w:pPr>
      <w:r>
        <w:rPr>
          <w:rFonts w:ascii="Arial" w:cs="Arial" w:eastAsia="Arial" w:hAnsi="Arial"/>
          <w:sz w:val="17"/>
          <w:szCs w:val="17"/>
          <w:color w:val="auto"/>
        </w:rPr>
        <w:t>The Company has revised the second page of prospectus graphics to address the Staff’s comments. In particular, in response to the first bullet, the Company has removed the reference to the number of countries. In response to the second bullet, the Company has revised the graphic to include equivalent information regarding the results for the Company overall as well as for each of the B2 Cloud Storage and Computer Backup businesses, including the number of customers for each. Although the Company did not include additional graphics regarding the percentages of the B2 Cloud Storage and Computer Backup businesses, the Company added the annual recurring revenue amount for each of B2 Cloud Storage and Computer Backup, thereby making the relative size of each clear to the reader. In response to the third bullet, the Company has removed the market opportunity information from the graphic.</w:t>
      </w:r>
    </w:p>
    <w:p>
      <w:pPr>
        <w:spacing w:after="0" w:line="393" w:lineRule="exact"/>
        <w:rPr>
          <w:sz w:val="20"/>
          <w:szCs w:val="20"/>
          <w:color w:val="auto"/>
        </w:rPr>
      </w:pPr>
    </w:p>
    <w:p>
      <w:pPr>
        <w:jc w:val="center"/>
        <w:ind w:right="-23"/>
        <w:spacing w:after="0"/>
        <w:rPr>
          <w:sz w:val="20"/>
          <w:szCs w:val="20"/>
          <w:color w:val="auto"/>
        </w:rPr>
      </w:pPr>
      <w:r>
        <w:rPr>
          <w:rFonts w:ascii="Arial" w:cs="Arial" w:eastAsia="Arial" w:hAnsi="Arial"/>
          <w:sz w:val="18"/>
          <w:szCs w:val="18"/>
          <w:i w:val="1"/>
          <w:iCs w:val="1"/>
          <w:color w:val="auto"/>
        </w:rPr>
        <w:t>[Remainder of page intentionally left blank.]</w:t>
      </w:r>
    </w:p>
    <w:p>
      <w:pPr>
        <w:sectPr>
          <w:pgSz w:w="11900" w:h="16838" w:orient="portrait"/>
          <w:cols w:equalWidth="0" w:num="1">
            <w:col w:w="10984"/>
          </w:cols>
          <w:pgMar w:left="436" w:top="274" w:right="479" w:bottom="1440" w:gutter="0" w:footer="0" w:header="0"/>
        </w:sectPr>
      </w:pPr>
    </w:p>
    <w:bookmarkStart w:id="2" w:name="page3"/>
    <w:bookmarkEnd w:id="2"/>
    <w:p>
      <w:pPr>
        <w:ind w:left="4"/>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Securities and Exchange Commission</w:t>
      </w:r>
    </w:p>
    <w:p>
      <w:pPr>
        <w:spacing w:after="0" w:line="23" w:lineRule="exact"/>
        <w:rPr>
          <w:sz w:val="20"/>
          <w:szCs w:val="20"/>
          <w:color w:val="auto"/>
        </w:rPr>
      </w:pPr>
    </w:p>
    <w:p>
      <w:pPr>
        <w:ind w:left="4"/>
        <w:spacing w:after="0"/>
        <w:rPr>
          <w:sz w:val="20"/>
          <w:szCs w:val="20"/>
          <w:color w:val="auto"/>
        </w:rPr>
      </w:pPr>
      <w:r>
        <w:rPr>
          <w:rFonts w:ascii="Arial" w:cs="Arial" w:eastAsia="Arial" w:hAnsi="Arial"/>
          <w:sz w:val="18"/>
          <w:szCs w:val="18"/>
          <w:color w:val="auto"/>
        </w:rPr>
        <w:t>November 2, 2021</w:t>
      </w:r>
    </w:p>
    <w:p>
      <w:pPr>
        <w:spacing w:after="0" w:line="9" w:lineRule="exact"/>
        <w:rPr>
          <w:sz w:val="20"/>
          <w:szCs w:val="20"/>
          <w:color w:val="auto"/>
        </w:rPr>
      </w:pPr>
    </w:p>
    <w:p>
      <w:pPr>
        <w:ind w:left="4"/>
        <w:spacing w:after="0"/>
        <w:rPr>
          <w:sz w:val="20"/>
          <w:szCs w:val="20"/>
          <w:color w:val="auto"/>
        </w:rPr>
      </w:pPr>
      <w:r>
        <w:rPr>
          <w:rFonts w:ascii="Arial" w:cs="Arial" w:eastAsia="Arial" w:hAnsi="Arial"/>
          <w:sz w:val="18"/>
          <w:szCs w:val="18"/>
          <w:color w:val="auto"/>
        </w:rPr>
        <w:t>Page 3</w:t>
      </w:r>
    </w:p>
    <w:p>
      <w:pPr>
        <w:spacing w:after="0" w:line="143" w:lineRule="exact"/>
        <w:rPr>
          <w:sz w:val="20"/>
          <w:szCs w:val="20"/>
          <w:color w:val="auto"/>
        </w:rPr>
      </w:pPr>
    </w:p>
    <w:p>
      <w:pPr>
        <w:jc w:val="center"/>
        <w:ind w:right="-543"/>
        <w:spacing w:after="0"/>
        <w:rPr>
          <w:sz w:val="20"/>
          <w:szCs w:val="20"/>
          <w:color w:val="auto"/>
        </w:rPr>
      </w:pPr>
      <w:r>
        <w:rPr>
          <w:rFonts w:ascii="Arial" w:cs="Arial" w:eastAsia="Arial" w:hAnsi="Arial"/>
          <w:sz w:val="18"/>
          <w:szCs w:val="18"/>
          <w:color w:val="auto"/>
        </w:rPr>
        <w:t>* * * * *</w:t>
      </w:r>
    </w:p>
    <w:p>
      <w:pPr>
        <w:spacing w:after="0" w:line="225" w:lineRule="exact"/>
        <w:rPr>
          <w:sz w:val="20"/>
          <w:szCs w:val="20"/>
          <w:color w:val="auto"/>
        </w:rPr>
      </w:pPr>
    </w:p>
    <w:p>
      <w:pPr>
        <w:ind w:left="444"/>
        <w:spacing w:after="0"/>
        <w:rPr>
          <w:sz w:val="20"/>
          <w:szCs w:val="20"/>
          <w:color w:val="auto"/>
        </w:rPr>
      </w:pPr>
      <w:r>
        <w:rPr>
          <w:rFonts w:ascii="Arial" w:cs="Arial" w:eastAsia="Arial" w:hAnsi="Arial"/>
          <w:sz w:val="16"/>
          <w:szCs w:val="16"/>
          <w:color w:val="auto"/>
        </w:rPr>
        <w:t>Please do not hesitate to contact me at (650) 463-5335 if you have any questions or would like additional information regarding this matter.</w:t>
      </w:r>
    </w:p>
    <w:p>
      <w:pPr>
        <w:spacing w:after="0" w:line="248" w:lineRule="exact"/>
        <w:rPr>
          <w:sz w:val="20"/>
          <w:szCs w:val="20"/>
          <w:color w:val="auto"/>
        </w:rPr>
      </w:pPr>
    </w:p>
    <w:p>
      <w:pPr>
        <w:ind w:left="4"/>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ind w:left="4"/>
        <w:spacing w:after="0"/>
        <w:rPr>
          <w:sz w:val="20"/>
          <w:szCs w:val="20"/>
          <w:color w:val="auto"/>
        </w:rPr>
      </w:pPr>
      <w:r>
        <w:rPr>
          <w:rFonts w:ascii="Arial" w:cs="Arial" w:eastAsia="Arial" w:hAnsi="Arial"/>
          <w:sz w:val="18"/>
          <w:szCs w:val="18"/>
          <w:u w:val="single" w:color="auto"/>
          <w:color w:val="auto"/>
        </w:rPr>
        <w:t>/s/ Jeffrey R. Vetter</w:t>
      </w:r>
    </w:p>
    <w:p>
      <w:pPr>
        <w:spacing w:after="0" w:line="131" w:lineRule="exact"/>
        <w:rPr>
          <w:sz w:val="20"/>
          <w:szCs w:val="20"/>
          <w:color w:val="auto"/>
        </w:rPr>
      </w:pPr>
    </w:p>
    <w:p>
      <w:pPr>
        <w:ind w:left="444" w:right="8760" w:hanging="444"/>
        <w:spacing w:after="0" w:line="274" w:lineRule="auto"/>
        <w:tabs>
          <w:tab w:leader="none" w:pos="436" w:val="left"/>
        </w:tabs>
        <w:numPr>
          <w:ilvl w:val="0"/>
          <w:numId w:val="4"/>
        </w:numPr>
        <w:rPr>
          <w:rFonts w:ascii="Arial" w:cs="Arial" w:eastAsia="Arial" w:hAnsi="Arial"/>
          <w:sz w:val="17"/>
          <w:szCs w:val="17"/>
          <w:color w:val="auto"/>
        </w:rPr>
      </w:pPr>
      <w:r>
        <w:rPr>
          <w:rFonts w:ascii="Arial" w:cs="Arial" w:eastAsia="Arial" w:hAnsi="Arial"/>
          <w:sz w:val="17"/>
          <w:szCs w:val="17"/>
          <w:color w:val="auto"/>
        </w:rPr>
        <w:t>Tom MacMitchell Frank Patchel</w:t>
      </w:r>
    </w:p>
    <w:p>
      <w:pPr>
        <w:ind w:left="444"/>
        <w:spacing w:after="0"/>
        <w:rPr>
          <w:rFonts w:ascii="Arial" w:cs="Arial" w:eastAsia="Arial" w:hAnsi="Arial"/>
          <w:sz w:val="17"/>
          <w:szCs w:val="17"/>
          <w:color w:val="auto"/>
        </w:rPr>
      </w:pPr>
      <w:r>
        <w:rPr>
          <w:rFonts w:ascii="Arial" w:cs="Arial" w:eastAsia="Arial" w:hAnsi="Arial"/>
          <w:sz w:val="18"/>
          <w:szCs w:val="18"/>
          <w:b w:val="1"/>
          <w:bCs w:val="1"/>
          <w:color w:val="auto"/>
        </w:rPr>
        <w:t>Backblaze, Inc.</w:t>
      </w:r>
    </w:p>
    <w:p>
      <w:pPr>
        <w:spacing w:after="0" w:line="210" w:lineRule="exact"/>
        <w:rPr>
          <w:rFonts w:ascii="Arial" w:cs="Arial" w:eastAsia="Arial" w:hAnsi="Arial"/>
          <w:sz w:val="17"/>
          <w:szCs w:val="17"/>
          <w:color w:val="auto"/>
        </w:rPr>
      </w:pPr>
    </w:p>
    <w:p>
      <w:pPr>
        <w:ind w:left="444"/>
        <w:spacing w:after="0"/>
        <w:rPr>
          <w:rFonts w:ascii="Arial" w:cs="Arial" w:eastAsia="Arial" w:hAnsi="Arial"/>
          <w:sz w:val="17"/>
          <w:szCs w:val="17"/>
          <w:color w:val="auto"/>
        </w:rPr>
      </w:pPr>
      <w:r>
        <w:rPr>
          <w:rFonts w:ascii="Arial" w:cs="Arial" w:eastAsia="Arial" w:hAnsi="Arial"/>
          <w:sz w:val="18"/>
          <w:szCs w:val="18"/>
          <w:color w:val="auto"/>
        </w:rPr>
        <w:t>Bennett Yee</w:t>
      </w:r>
    </w:p>
    <w:p>
      <w:pPr>
        <w:spacing w:after="0" w:line="23" w:lineRule="exact"/>
        <w:rPr>
          <w:rFonts w:ascii="Arial" w:cs="Arial" w:eastAsia="Arial" w:hAnsi="Arial"/>
          <w:sz w:val="17"/>
          <w:szCs w:val="17"/>
          <w:color w:val="auto"/>
        </w:rPr>
      </w:pPr>
    </w:p>
    <w:p>
      <w:pPr>
        <w:ind w:left="444"/>
        <w:spacing w:after="0"/>
        <w:rPr>
          <w:rFonts w:ascii="Arial" w:cs="Arial" w:eastAsia="Arial" w:hAnsi="Arial"/>
          <w:sz w:val="17"/>
          <w:szCs w:val="17"/>
          <w:color w:val="auto"/>
        </w:rPr>
      </w:pPr>
      <w:r>
        <w:rPr>
          <w:rFonts w:ascii="Arial" w:cs="Arial" w:eastAsia="Arial" w:hAnsi="Arial"/>
          <w:sz w:val="18"/>
          <w:szCs w:val="18"/>
          <w:b w:val="1"/>
          <w:bCs w:val="1"/>
          <w:color w:val="auto"/>
        </w:rPr>
        <w:t>Gunderson Dettmer Stough Villeneuve Franklin &amp; Hachigian, LLP</w:t>
      </w:r>
    </w:p>
    <w:p>
      <w:pPr>
        <w:spacing w:after="0" w:line="210" w:lineRule="exact"/>
        <w:rPr>
          <w:rFonts w:ascii="Arial" w:cs="Arial" w:eastAsia="Arial" w:hAnsi="Arial"/>
          <w:sz w:val="17"/>
          <w:szCs w:val="17"/>
          <w:color w:val="auto"/>
        </w:rPr>
      </w:pPr>
    </w:p>
    <w:p>
      <w:pPr>
        <w:ind w:left="444"/>
        <w:spacing w:after="0"/>
        <w:rPr>
          <w:rFonts w:ascii="Arial" w:cs="Arial" w:eastAsia="Arial" w:hAnsi="Arial"/>
          <w:sz w:val="17"/>
          <w:szCs w:val="17"/>
          <w:color w:val="auto"/>
        </w:rPr>
      </w:pPr>
      <w:r>
        <w:rPr>
          <w:rFonts w:ascii="Arial" w:cs="Arial" w:eastAsia="Arial" w:hAnsi="Arial"/>
          <w:sz w:val="18"/>
          <w:szCs w:val="18"/>
          <w:color w:val="auto"/>
        </w:rPr>
        <w:t>Stuart Bressman</w:t>
      </w:r>
    </w:p>
    <w:p>
      <w:pPr>
        <w:spacing w:after="0" w:line="23" w:lineRule="exact"/>
        <w:rPr>
          <w:rFonts w:ascii="Arial" w:cs="Arial" w:eastAsia="Arial" w:hAnsi="Arial"/>
          <w:sz w:val="17"/>
          <w:szCs w:val="17"/>
          <w:color w:val="auto"/>
        </w:rPr>
      </w:pPr>
    </w:p>
    <w:p>
      <w:pPr>
        <w:ind w:left="444"/>
        <w:spacing w:after="0"/>
        <w:rPr>
          <w:rFonts w:ascii="Arial" w:cs="Arial" w:eastAsia="Arial" w:hAnsi="Arial"/>
          <w:sz w:val="17"/>
          <w:szCs w:val="17"/>
          <w:color w:val="auto"/>
        </w:rPr>
      </w:pPr>
      <w:r>
        <w:rPr>
          <w:rFonts w:ascii="Arial" w:cs="Arial" w:eastAsia="Arial" w:hAnsi="Arial"/>
          <w:sz w:val="18"/>
          <w:szCs w:val="18"/>
          <w:b w:val="1"/>
          <w:bCs w:val="1"/>
          <w:color w:val="auto"/>
        </w:rPr>
        <w:t>White &amp; Case LLP</w:t>
      </w:r>
    </w:p>
    <w:sectPr>
      <w:pgSz w:w="11900" w:h="16838" w:orient="portrait"/>
      <w:cols w:equalWidth="0" w:num="1">
        <w:col w:w="10484"/>
      </w:cols>
      <w:pgMar w:left="436" w:top="274" w:right="9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1"/>
    </w:lvl>
  </w:abstractNum>
  <w:abstractNum w:abstractNumId="1">
    <w:nsid w:val="19495CFF"/>
    <w:multiLevelType w:val="hybridMultilevel"/>
    <w:lvl w:ilvl="0">
      <w:lvlJc w:val="left"/>
      <w:lvlText w:val="%1."/>
      <w:numFmt w:val="decimal"/>
      <w:start w:val="2"/>
    </w:lvl>
  </w:abstractNum>
  <w:abstractNum w:abstractNumId="2">
    <w:nsid w:val="2AE8944A"/>
    <w:multiLevelType w:val="hybridMultilevel"/>
    <w:lvl w:ilvl="0">
      <w:lvlJc w:val="left"/>
      <w:lvlText w:val="%1."/>
      <w:numFmt w:val="decimal"/>
      <w:start w:val="3"/>
    </w:lvl>
    <w:lvl w:ilvl="1">
      <w:lvlJc w:val="left"/>
      <w:lvlText w:val="•"/>
      <w:numFmt w:val="bullet"/>
      <w:start w:val="1"/>
    </w:lvl>
  </w:abstractNum>
  <w:abstractNum w:abstractNumId="3">
    <w:nsid w:val="625558EC"/>
    <w:multiLevelType w:val="hybridMultilevel"/>
    <w:lvl w:ilvl="0">
      <w:lvlJc w:val="left"/>
      <w:lvlText w:val="%1:"/>
      <w:numFmt w:val="lowerLetter"/>
      <w:start w:val="29"/>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2021-12-10T23:08:09Z</dcterms:created>
  <dcterms:modified xsi:type="dcterms:W3CDTF">2021-12-10T23:08:09Z</dcterms:modified>
</cp:coreProperties>
</file>