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Times New Roman" w:cs="Times New Roman" w:eastAsia="Times New Roman" w:hAnsi="Times New Roman"/>
          <w:sz w:val="32"/>
          <w:szCs w:val="32"/>
          <w:b w:val="1"/>
          <w:bCs w:val="1"/>
          <w:color w:val="auto"/>
        </w:rPr>
        <w:t>UNITED STATES</w:t>
      </w:r>
    </w:p>
    <w:p>
      <w:pPr>
        <w:spacing w:after="0" w:line="61"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24"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5"/>
          <w:szCs w:val="25"/>
          <w:b w:val="1"/>
          <w:bCs w:val="1"/>
          <w:color w:val="auto"/>
        </w:rPr>
        <w:t>Washington, D.C. 205490</w:t>
      </w:r>
    </w:p>
    <w:p>
      <w:pPr>
        <w:spacing w:after="0" w:line="215"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61"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231F20"/>
        </w:rPr>
        <w:t>CURRENT REPORT</w:t>
      </w:r>
    </w:p>
    <w:p>
      <w:pPr>
        <w:spacing w:after="0" w:line="10"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231F20"/>
        </w:rPr>
        <w:t>Pursuant to Section 13 OR 15(d) of The Securities Exchange Act of 1934</w:t>
      </w:r>
    </w:p>
    <w:p>
      <w:pPr>
        <w:spacing w:after="0" w:line="223"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April 21, 2022</w:t>
      </w:r>
    </w:p>
    <w:p>
      <w:pPr>
        <w:spacing w:after="0" w:line="29"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Date of Report (date of earliest event reported)</w:t>
      </w:r>
    </w:p>
    <w:p>
      <w:pPr>
        <w:spacing w:after="0" w:line="214"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32"/>
          <w:szCs w:val="32"/>
          <w:b w:val="1"/>
          <w:bCs w:val="1"/>
          <w:color w:val="auto"/>
        </w:rPr>
        <w:t>Backblaze, Inc.</w:t>
      </w:r>
    </w:p>
    <w:p>
      <w:pPr>
        <w:spacing w:after="0" w:line="61"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(Exact name of registrant as specified in its charter)</w:t>
      </w:r>
    </w:p>
    <w:p>
      <w:pPr>
        <w:spacing w:after="0" w:line="275" w:lineRule="exact"/>
        <w:rPr>
          <w:sz w:val="24"/>
          <w:szCs w:val="24"/>
          <w:color w:val="auto"/>
        </w:rPr>
      </w:pPr>
    </w:p>
    <w:tbl>
      <w:tblPr>
        <w:tblLayout w:type="fixed"/>
        <w:tblInd w:w="220" w:type="dxa"/>
        <w:tblCellMar>
          <w:top w:w="0" w:type="dxa"/>
          <w:left w:w="0" w:type="dxa"/>
          <w:bottom w:w="0" w:type="dxa"/>
          <w:right w:w="0" w:type="dxa"/>
        </w:tblCellMar>
      </w:tblPr>
      <w:tr>
        <w:trPr>
          <w:trHeight w:val="238"/>
        </w:trPr>
        <w:tc>
          <w:tcPr>
            <w:tcW w:w="4520" w:type="dxa"/>
            <w:vAlign w:val="bottom"/>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2760" w:type="dxa"/>
            <w:vAlign w:val="bottom"/>
          </w:tcPr>
          <w:p>
            <w:pPr>
              <w:jc w:val="center"/>
              <w:ind w:right="930"/>
              <w:spacing w:after="0"/>
              <w:rPr>
                <w:sz w:val="20"/>
                <w:szCs w:val="20"/>
                <w:color w:val="auto"/>
              </w:rPr>
            </w:pPr>
            <w:r>
              <w:rPr>
                <w:rFonts w:ascii="Times New Roman" w:cs="Times New Roman" w:eastAsia="Times New Roman" w:hAnsi="Times New Roman"/>
                <w:sz w:val="18"/>
                <w:szCs w:val="18"/>
                <w:b w:val="1"/>
                <w:bCs w:val="1"/>
                <w:color w:val="auto"/>
                <w:w w:val="99"/>
              </w:rPr>
              <w:t>001-41026</w:t>
            </w:r>
          </w:p>
        </w:tc>
        <w:tc>
          <w:tcPr>
            <w:tcW w:w="2640" w:type="dxa"/>
            <w:vAlign w:val="bottom"/>
          </w:tcPr>
          <w:p>
            <w:pPr>
              <w:jc w:val="right"/>
              <w:ind w:right="770"/>
              <w:spacing w:after="0"/>
              <w:rPr>
                <w:sz w:val="20"/>
                <w:szCs w:val="20"/>
                <w:color w:val="auto"/>
              </w:rPr>
            </w:pPr>
            <w:r>
              <w:rPr>
                <w:rFonts w:ascii="Times New Roman" w:cs="Times New Roman" w:eastAsia="Times New Roman" w:hAnsi="Times New Roman"/>
                <w:sz w:val="18"/>
                <w:szCs w:val="18"/>
                <w:b w:val="1"/>
                <w:bCs w:val="1"/>
                <w:color w:val="auto"/>
              </w:rPr>
              <w:t>20-8893125</w:t>
            </w:r>
          </w:p>
        </w:tc>
      </w:tr>
      <w:tr>
        <w:trPr>
          <w:trHeight w:val="265"/>
        </w:trPr>
        <w:tc>
          <w:tcPr>
            <w:tcW w:w="4520" w:type="dxa"/>
            <w:vAlign w:val="bottom"/>
          </w:tcPr>
          <w:p>
            <w:pPr>
              <w:spacing w:after="0"/>
              <w:rPr>
                <w:sz w:val="23"/>
                <w:szCs w:val="23"/>
                <w:color w:val="auto"/>
              </w:rPr>
            </w:pPr>
          </w:p>
        </w:tc>
        <w:tc>
          <w:tcPr>
            <w:tcW w:w="2760" w:type="dxa"/>
            <w:vAlign w:val="bottom"/>
          </w:tcPr>
          <w:p>
            <w:pPr>
              <w:jc w:val="center"/>
              <w:ind w:right="930"/>
              <w:spacing w:after="0"/>
              <w:rPr>
                <w:sz w:val="20"/>
                <w:szCs w:val="20"/>
                <w:color w:val="auto"/>
              </w:rPr>
            </w:pPr>
            <w:r>
              <w:rPr>
                <w:rFonts w:ascii="Times New Roman" w:cs="Times New Roman" w:eastAsia="Times New Roman" w:hAnsi="Times New Roman"/>
                <w:sz w:val="18"/>
                <w:szCs w:val="18"/>
                <w:color w:val="auto"/>
              </w:rPr>
              <w:t>(Commission File</w:t>
            </w:r>
          </w:p>
        </w:tc>
        <w:tc>
          <w:tcPr>
            <w:tcW w:w="2640" w:type="dxa"/>
            <w:vAlign w:val="bottom"/>
          </w:tcPr>
          <w:p>
            <w:pPr>
              <w:spacing w:after="0"/>
              <w:rPr>
                <w:sz w:val="23"/>
                <w:szCs w:val="23"/>
                <w:color w:val="auto"/>
              </w:rPr>
            </w:pPr>
          </w:p>
        </w:tc>
      </w:tr>
      <w:tr>
        <w:trPr>
          <w:trHeight w:val="234"/>
        </w:trPr>
        <w:tc>
          <w:tcPr>
            <w:tcW w:w="4520" w:type="dxa"/>
            <w:vAlign w:val="bottom"/>
          </w:tcPr>
          <w:p>
            <w:pPr>
              <w:jc w:val="center"/>
              <w:ind w:right="130"/>
              <w:spacing w:after="0"/>
              <w:rPr>
                <w:sz w:val="20"/>
                <w:szCs w:val="20"/>
                <w:color w:val="auto"/>
              </w:rPr>
            </w:pPr>
            <w:r>
              <w:rPr>
                <w:rFonts w:ascii="Times New Roman" w:cs="Times New Roman" w:eastAsia="Times New Roman" w:hAnsi="Times New Roman"/>
                <w:sz w:val="18"/>
                <w:szCs w:val="18"/>
                <w:color w:val="auto"/>
                <w:w w:val="99"/>
              </w:rPr>
              <w:t>(State or other jurisdiction of incorporation or organization)</w:t>
            </w:r>
          </w:p>
        </w:tc>
        <w:tc>
          <w:tcPr>
            <w:tcW w:w="2760" w:type="dxa"/>
            <w:vAlign w:val="bottom"/>
          </w:tcPr>
          <w:p>
            <w:pPr>
              <w:jc w:val="center"/>
              <w:ind w:right="950"/>
              <w:spacing w:after="0"/>
              <w:rPr>
                <w:sz w:val="20"/>
                <w:szCs w:val="20"/>
                <w:color w:val="auto"/>
              </w:rPr>
            </w:pPr>
            <w:r>
              <w:rPr>
                <w:rFonts w:ascii="Times New Roman" w:cs="Times New Roman" w:eastAsia="Times New Roman" w:hAnsi="Times New Roman"/>
                <w:sz w:val="18"/>
                <w:szCs w:val="18"/>
                <w:color w:val="auto"/>
                <w:w w:val="98"/>
              </w:rPr>
              <w:t>Number)</w:t>
            </w:r>
          </w:p>
        </w:tc>
        <w:tc>
          <w:tcPr>
            <w:tcW w:w="26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(I.R.S. Employer Identification No.)</w:t>
            </w:r>
          </w:p>
        </w:tc>
      </w:tr>
      <w:tr>
        <w:trPr>
          <w:trHeight w:val="337"/>
        </w:trPr>
        <w:tc>
          <w:tcPr>
            <w:tcW w:w="4520" w:type="dxa"/>
            <w:vAlign w:val="bottom"/>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w w:val="99"/>
              </w:rPr>
              <w:t>500 Ben Franklin Ct, San Mateo, California</w:t>
            </w:r>
          </w:p>
        </w:tc>
        <w:tc>
          <w:tcPr>
            <w:tcW w:w="2760" w:type="dxa"/>
            <w:vAlign w:val="bottom"/>
          </w:tcPr>
          <w:p>
            <w:pPr>
              <w:spacing w:after="0"/>
              <w:rPr>
                <w:sz w:val="24"/>
                <w:szCs w:val="24"/>
                <w:color w:val="auto"/>
              </w:rPr>
            </w:pPr>
          </w:p>
        </w:tc>
        <w:tc>
          <w:tcPr>
            <w:tcW w:w="2640" w:type="dxa"/>
            <w:vAlign w:val="bottom"/>
          </w:tcPr>
          <w:p>
            <w:pPr>
              <w:jc w:val="right"/>
              <w:ind w:right="990"/>
              <w:spacing w:after="0"/>
              <w:rPr>
                <w:sz w:val="20"/>
                <w:szCs w:val="20"/>
                <w:color w:val="auto"/>
              </w:rPr>
            </w:pPr>
            <w:r>
              <w:rPr>
                <w:rFonts w:ascii="Times New Roman" w:cs="Times New Roman" w:eastAsia="Times New Roman" w:hAnsi="Times New Roman"/>
                <w:sz w:val="18"/>
                <w:szCs w:val="18"/>
                <w:b w:val="1"/>
                <w:bCs w:val="1"/>
                <w:color w:val="auto"/>
              </w:rPr>
              <w:t>94401</w:t>
            </w:r>
          </w:p>
        </w:tc>
      </w:tr>
      <w:tr>
        <w:trPr>
          <w:trHeight w:val="284"/>
        </w:trPr>
        <w:tc>
          <w:tcPr>
            <w:tcW w:w="452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w w:val="99"/>
              </w:rPr>
              <w:t>(Address of Principal Executive Offices)</w:t>
            </w:r>
          </w:p>
        </w:tc>
        <w:tc>
          <w:tcPr>
            <w:tcW w:w="2760" w:type="dxa"/>
            <w:vAlign w:val="bottom"/>
          </w:tcPr>
          <w:p>
            <w:pPr>
              <w:spacing w:after="0"/>
              <w:rPr>
                <w:sz w:val="24"/>
                <w:szCs w:val="24"/>
                <w:color w:val="auto"/>
              </w:rPr>
            </w:pPr>
          </w:p>
        </w:tc>
        <w:tc>
          <w:tcPr>
            <w:tcW w:w="264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(Zip Code)</w:t>
            </w:r>
          </w:p>
        </w:tc>
      </w:tr>
      <w:tr>
        <w:trPr>
          <w:trHeight w:val="333"/>
        </w:trPr>
        <w:tc>
          <w:tcPr>
            <w:tcW w:w="4520" w:type="dxa"/>
            <w:vAlign w:val="bottom"/>
          </w:tcPr>
          <w:p>
            <w:pPr>
              <w:spacing w:after="0"/>
              <w:rPr>
                <w:sz w:val="24"/>
                <w:szCs w:val="24"/>
                <w:color w:val="auto"/>
              </w:rPr>
            </w:pPr>
          </w:p>
        </w:tc>
        <w:tc>
          <w:tcPr>
            <w:tcW w:w="2760" w:type="dxa"/>
            <w:vAlign w:val="bottom"/>
          </w:tcPr>
          <w:p>
            <w:pPr>
              <w:jc w:val="center"/>
              <w:ind w:right="910"/>
              <w:spacing w:after="0"/>
              <w:rPr>
                <w:sz w:val="20"/>
                <w:szCs w:val="20"/>
                <w:color w:val="auto"/>
              </w:rPr>
            </w:pPr>
            <w:r>
              <w:rPr>
                <w:rFonts w:ascii="Times New Roman" w:cs="Times New Roman" w:eastAsia="Times New Roman" w:hAnsi="Times New Roman"/>
                <w:sz w:val="18"/>
                <w:szCs w:val="18"/>
                <w:b w:val="1"/>
                <w:bCs w:val="1"/>
                <w:color w:val="auto"/>
                <w:w w:val="99"/>
              </w:rPr>
              <w:t>(650) 352-3738</w:t>
            </w:r>
          </w:p>
        </w:tc>
        <w:tc>
          <w:tcPr>
            <w:tcW w:w="2640" w:type="dxa"/>
            <w:vAlign w:val="bottom"/>
          </w:tcPr>
          <w:p>
            <w:pPr>
              <w:spacing w:after="0"/>
              <w:rPr>
                <w:sz w:val="24"/>
                <w:szCs w:val="24"/>
                <w:color w:val="auto"/>
              </w:rPr>
            </w:pPr>
          </w:p>
        </w:tc>
      </w:tr>
      <w:tr>
        <w:trPr>
          <w:trHeight w:val="234"/>
        </w:trPr>
        <w:tc>
          <w:tcPr>
            <w:tcW w:w="7280" w:type="dxa"/>
            <w:vAlign w:val="bottom"/>
            <w:gridSpan w:val="2"/>
          </w:tcPr>
          <w:p>
            <w:pPr>
              <w:jc w:val="center"/>
              <w:ind w:left="3430"/>
              <w:spacing w:after="0"/>
              <w:rPr>
                <w:sz w:val="20"/>
                <w:szCs w:val="20"/>
                <w:color w:val="auto"/>
              </w:rPr>
            </w:pPr>
            <w:r>
              <w:rPr>
                <w:rFonts w:ascii="Times New Roman" w:cs="Times New Roman" w:eastAsia="Times New Roman" w:hAnsi="Times New Roman"/>
                <w:sz w:val="18"/>
                <w:szCs w:val="18"/>
                <w:color w:val="auto"/>
                <w:w w:val="99"/>
              </w:rPr>
              <w:t>Registrant's telephone number, including area code</w:t>
            </w:r>
          </w:p>
        </w:tc>
        <w:tc>
          <w:tcPr>
            <w:tcW w:w="2640" w:type="dxa"/>
            <w:vAlign w:val="bottom"/>
          </w:tcPr>
          <w:p>
            <w:pPr>
              <w:spacing w:after="0"/>
              <w:rPr>
                <w:sz w:val="20"/>
                <w:szCs w:val="20"/>
                <w:color w:val="auto"/>
              </w:rPr>
            </w:pPr>
          </w:p>
        </w:tc>
      </w:tr>
    </w:tbl>
    <w:p>
      <w:pPr>
        <w:spacing w:after="0" w:line="221"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Not Applicable</w:t>
      </w:r>
    </w:p>
    <w:p>
      <w:pPr>
        <w:spacing w:after="0" w:line="31"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8"/>
          <w:szCs w:val="18"/>
          <w:color w:val="231F20"/>
        </w:rPr>
        <w:t>(Former name or former address, if changed since last report.)</w:t>
      </w:r>
    </w:p>
    <w:p>
      <w:pPr>
        <w:spacing w:after="0" w:line="234" w:lineRule="exact"/>
        <w:rPr>
          <w:sz w:val="24"/>
          <w:szCs w:val="24"/>
          <w:color w:val="auto"/>
        </w:rPr>
      </w:pPr>
    </w:p>
    <w:p>
      <w:pPr>
        <w:ind w:right="70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243" w:lineRule="exact"/>
        <w:rPr>
          <w:sz w:val="24"/>
          <w:szCs w:val="24"/>
          <w:color w:val="auto"/>
        </w:rPr>
      </w:pPr>
    </w:p>
    <w:p>
      <w:pPr>
        <w:ind w:left="360" w:hanging="334"/>
        <w:spacing w:after="0"/>
        <w:tabs>
          <w:tab w:leader="none" w:pos="3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63" w:lineRule="exact"/>
        <w:rPr>
          <w:rFonts w:ascii="MS PGothic" w:cs="MS PGothic" w:eastAsia="MS PGothic" w:hAnsi="MS PGothic"/>
          <w:sz w:val="18"/>
          <w:szCs w:val="18"/>
          <w:color w:val="auto"/>
        </w:rPr>
      </w:pPr>
    </w:p>
    <w:p>
      <w:pPr>
        <w:ind w:left="360" w:hanging="334"/>
        <w:spacing w:after="0"/>
        <w:tabs>
          <w:tab w:leader="none" w:pos="3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231F20"/>
        </w:rPr>
        <w:t>Soliciting material pursuant to Rule 14a-12 under the Exchange Act (17 CFR 240.14a-12)</w:t>
      </w:r>
    </w:p>
    <w:p>
      <w:pPr>
        <w:spacing w:after="0" w:line="63" w:lineRule="exact"/>
        <w:rPr>
          <w:rFonts w:ascii="MS PGothic" w:cs="MS PGothic" w:eastAsia="MS PGothic" w:hAnsi="MS PGothic"/>
          <w:sz w:val="18"/>
          <w:szCs w:val="18"/>
          <w:color w:val="auto"/>
        </w:rPr>
      </w:pPr>
    </w:p>
    <w:p>
      <w:pPr>
        <w:ind w:left="360" w:hanging="334"/>
        <w:spacing w:after="0"/>
        <w:tabs>
          <w:tab w:leader="none" w:pos="3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231F20"/>
        </w:rPr>
        <w:t>Pre-commencement communications pursuant to Rule 14d-2(b) under the Exchange Act (17 CFR240.14d-2(b))</w:t>
      </w:r>
    </w:p>
    <w:p>
      <w:pPr>
        <w:spacing w:after="0" w:line="63" w:lineRule="exact"/>
        <w:rPr>
          <w:rFonts w:ascii="MS PGothic" w:cs="MS PGothic" w:eastAsia="MS PGothic" w:hAnsi="MS PGothic"/>
          <w:sz w:val="18"/>
          <w:szCs w:val="18"/>
          <w:color w:val="auto"/>
        </w:rPr>
      </w:pPr>
    </w:p>
    <w:p>
      <w:pPr>
        <w:ind w:left="360" w:hanging="334"/>
        <w:spacing w:after="0"/>
        <w:tabs>
          <w:tab w:leader="none" w:pos="3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231F20"/>
        </w:rPr>
        <w:t>Pre-commencement communications pursuant to Rule 13e-4(c) under the Exchange Act (17 CFR 240.13e-4(c))</w:t>
      </w:r>
    </w:p>
    <w:p>
      <w:pPr>
        <w:spacing w:after="0" w:line="387"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88" w:lineRule="exact"/>
        <w:rPr>
          <w:sz w:val="24"/>
          <w:szCs w:val="24"/>
          <w:color w:val="auto"/>
        </w:rPr>
      </w:pPr>
    </w:p>
    <w:tbl>
      <w:tblPr>
        <w:tblLayout w:type="fixed"/>
        <w:tblInd w:w="10" w:type="dxa"/>
        <w:tblCellMar>
          <w:top w:w="0" w:type="dxa"/>
          <w:left w:w="0" w:type="dxa"/>
          <w:bottom w:w="0" w:type="dxa"/>
          <w:right w:w="0" w:type="dxa"/>
        </w:tblCellMar>
      </w:tblPr>
      <w:tr>
        <w:trPr>
          <w:trHeight w:val="257"/>
        </w:trPr>
        <w:tc>
          <w:tcPr>
            <w:tcW w:w="460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Title of each class</w:t>
            </w:r>
          </w:p>
        </w:tc>
        <w:tc>
          <w:tcPr>
            <w:tcW w:w="1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Trading Symbol(s)</w:t>
            </w:r>
          </w:p>
        </w:tc>
        <w:tc>
          <w:tcPr>
            <w:tcW w:w="46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Name of each exchange on which registered</w:t>
            </w:r>
          </w:p>
        </w:tc>
      </w:tr>
      <w:tr>
        <w:trPr>
          <w:trHeight w:val="40"/>
        </w:trPr>
        <w:tc>
          <w:tcPr>
            <w:tcW w:w="4600" w:type="dxa"/>
            <w:vAlign w:val="bottom"/>
            <w:tcBorders>
              <w:left w:val="single" w:sz="8" w:color="auto"/>
              <w:bottom w:val="single" w:sz="8" w:color="auto"/>
              <w:right w:val="single" w:sz="8" w:color="auto"/>
            </w:tcBorders>
          </w:tcPr>
          <w:p>
            <w:pPr>
              <w:spacing w:after="0"/>
              <w:rPr>
                <w:sz w:val="3"/>
                <w:szCs w:val="3"/>
                <w:color w:val="auto"/>
              </w:rPr>
            </w:pPr>
          </w:p>
        </w:tc>
        <w:tc>
          <w:tcPr>
            <w:tcW w:w="1980" w:type="dxa"/>
            <w:vAlign w:val="bottom"/>
            <w:tcBorders>
              <w:bottom w:val="single" w:sz="8" w:color="auto"/>
              <w:right w:val="single" w:sz="8" w:color="auto"/>
            </w:tcBorders>
          </w:tcPr>
          <w:p>
            <w:pPr>
              <w:spacing w:after="0"/>
              <w:rPr>
                <w:sz w:val="3"/>
                <w:szCs w:val="3"/>
                <w:color w:val="auto"/>
              </w:rPr>
            </w:pPr>
          </w:p>
        </w:tc>
        <w:tc>
          <w:tcPr>
            <w:tcW w:w="4680" w:type="dxa"/>
            <w:vAlign w:val="bottom"/>
            <w:tcBorders>
              <w:bottom w:val="single" w:sz="8" w:color="auto"/>
              <w:right w:val="single" w:sz="8" w:color="auto"/>
            </w:tcBorders>
          </w:tcPr>
          <w:p>
            <w:pPr>
              <w:spacing w:after="0"/>
              <w:rPr>
                <w:sz w:val="3"/>
                <w:szCs w:val="3"/>
                <w:color w:val="auto"/>
              </w:rPr>
            </w:pPr>
          </w:p>
        </w:tc>
      </w:tr>
      <w:tr>
        <w:trPr>
          <w:trHeight w:val="237"/>
        </w:trPr>
        <w:tc>
          <w:tcPr>
            <w:tcW w:w="46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Class A Common Stock, par value $0.0001 per share</w:t>
            </w: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BLZE</w:t>
            </w:r>
          </w:p>
        </w:tc>
        <w:tc>
          <w:tcPr>
            <w:tcW w:w="4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The Nasdaq Stock Market LLC</w:t>
            </w:r>
          </w:p>
        </w:tc>
      </w:tr>
      <w:tr>
        <w:trPr>
          <w:trHeight w:val="40"/>
        </w:trPr>
        <w:tc>
          <w:tcPr>
            <w:tcW w:w="4600" w:type="dxa"/>
            <w:vAlign w:val="bottom"/>
            <w:tcBorders>
              <w:left w:val="single" w:sz="8" w:color="auto"/>
              <w:bottom w:val="single" w:sz="8" w:color="auto"/>
              <w:right w:val="single" w:sz="8" w:color="auto"/>
            </w:tcBorders>
          </w:tcPr>
          <w:p>
            <w:pPr>
              <w:spacing w:after="0"/>
              <w:rPr>
                <w:sz w:val="3"/>
                <w:szCs w:val="3"/>
                <w:color w:val="auto"/>
              </w:rPr>
            </w:pPr>
          </w:p>
        </w:tc>
        <w:tc>
          <w:tcPr>
            <w:tcW w:w="1980" w:type="dxa"/>
            <w:vAlign w:val="bottom"/>
            <w:tcBorders>
              <w:bottom w:val="single" w:sz="8" w:color="auto"/>
              <w:right w:val="single" w:sz="8" w:color="auto"/>
            </w:tcBorders>
          </w:tcPr>
          <w:p>
            <w:pPr>
              <w:spacing w:after="0"/>
              <w:rPr>
                <w:sz w:val="3"/>
                <w:szCs w:val="3"/>
                <w:color w:val="auto"/>
              </w:rPr>
            </w:pPr>
          </w:p>
        </w:tc>
        <w:tc>
          <w:tcPr>
            <w:tcW w:w="4680" w:type="dxa"/>
            <w:vAlign w:val="bottom"/>
            <w:tcBorders>
              <w:bottom w:val="single" w:sz="8" w:color="auto"/>
              <w:right w:val="single" w:sz="8" w:color="auto"/>
            </w:tcBorders>
          </w:tcPr>
          <w:p>
            <w:pPr>
              <w:spacing w:after="0"/>
              <w:rPr>
                <w:sz w:val="3"/>
                <w:szCs w:val="3"/>
                <w:color w:val="auto"/>
              </w:rPr>
            </w:pPr>
          </w:p>
        </w:tc>
      </w:tr>
    </w:tbl>
    <w:p>
      <w:pPr>
        <w:spacing w:after="0" w:line="306" w:lineRule="exact"/>
        <w:rPr>
          <w:sz w:val="24"/>
          <w:szCs w:val="24"/>
          <w:color w:val="auto"/>
        </w:rPr>
      </w:pPr>
    </w:p>
    <w:p>
      <w:pPr>
        <w:jc w:val="both"/>
        <w:ind w:right="40"/>
        <w:spacing w:after="0" w:line="258"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ind w:left="9060"/>
        <w:spacing w:after="0" w:line="207" w:lineRule="exact"/>
        <w:rPr>
          <w:sz w:val="20"/>
          <w:szCs w:val="20"/>
          <w:color w:val="auto"/>
        </w:rPr>
      </w:pPr>
      <w:r>
        <w:rPr>
          <w:rFonts w:ascii="Times New Roman" w:cs="Times New Roman" w:eastAsia="Times New Roman" w:hAnsi="Times New Roman"/>
          <w:sz w:val="18"/>
          <w:szCs w:val="18"/>
          <w:color w:val="231F20"/>
        </w:rPr>
        <w:t xml:space="preserve">Emerging growth company </w:t>
      </w:r>
      <w:r>
        <w:rPr>
          <w:rFonts w:ascii="MS PGothic" w:cs="MS PGothic" w:eastAsia="MS PGothic" w:hAnsi="MS PGothic"/>
          <w:sz w:val="18"/>
          <w:szCs w:val="18"/>
          <w:color w:val="231F20"/>
        </w:rPr>
        <w:t>☒</w:t>
      </w:r>
    </w:p>
    <w:p>
      <w:pPr>
        <w:spacing w:after="0" w:line="239" w:lineRule="exact"/>
        <w:rPr>
          <w:sz w:val="24"/>
          <w:szCs w:val="24"/>
          <w:color w:val="auto"/>
        </w:rPr>
      </w:pPr>
    </w:p>
    <w:p>
      <w:pPr>
        <w:jc w:val="both"/>
        <w:ind w:right="20"/>
        <w:spacing w:after="0" w:line="258" w:lineRule="auto"/>
        <w:rPr>
          <w:sz w:val="20"/>
          <w:szCs w:val="20"/>
          <w:color w:val="auto"/>
        </w:rPr>
      </w:pPr>
      <w:r>
        <w:rPr>
          <w:rFonts w:ascii="Times New Roman" w:cs="Times New Roman" w:eastAsia="Times New Roman" w:hAnsi="Times New Roman"/>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jc w:val="right"/>
        <w:ind w:right="20"/>
        <w:spacing w:after="0" w:line="181" w:lineRule="exact"/>
        <w:rPr>
          <w:sz w:val="20"/>
          <w:szCs w:val="20"/>
          <w:color w:val="auto"/>
        </w:rPr>
      </w:pP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904875</wp:posOffset>
            </wp:positionV>
            <wp:extent cx="71577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60"/>
          </w:cols>
          <w:pgMar w:left="320" w:top="862" w:right="31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t>Item 1.01 Entry into a Material Definitive Agreement.</w:t>
      </w:r>
    </w:p>
    <w:p>
      <w:pPr>
        <w:spacing w:after="0" w:line="256"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On April 21, 2022, Backblaze, Inc. (the “Company”), entered into a Second Amendment (the “Second Amendment”) to the Loan and Security Agreement, dated as of October 21, 2021 and amended as of December 30, 2021, with City National Bank (the "Loan and Security Agreement"). The Second Amendment amended the Loan and Security Agreement to convert the $9.5 million line of credit to a $30 million revolving line. The Second Amendment, among other things, also modified the anniversary fee and commitment fee structure for an expected net reduction in fees payable by the Company pursuant to the Loan and Security Agreement.</w:t>
      </w:r>
    </w:p>
    <w:p>
      <w:pPr>
        <w:spacing w:after="0" w:line="20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foregoing description of the Second Amendment does not purport to be complete and is qualified in its entirety by reference to the full text of the Second Amendment, which is attached hereto as Exhibit 10.1.</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9.01 Financial Statements and Exhibits.</w:t>
      </w: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840" w:type="dxa"/>
            <w:vAlign w:val="bottom"/>
            <w:gridSpan w:val="2"/>
          </w:tcPr>
          <w:p>
            <w:pPr>
              <w:jc w:val="right"/>
              <w:ind w:right="940"/>
              <w:spacing w:after="0"/>
              <w:rPr>
                <w:sz w:val="20"/>
                <w:szCs w:val="20"/>
                <w:color w:val="auto"/>
              </w:rPr>
            </w:pPr>
            <w:r>
              <w:rPr>
                <w:rFonts w:ascii="Times New Roman" w:cs="Times New Roman" w:eastAsia="Times New Roman" w:hAnsi="Times New Roman"/>
                <w:sz w:val="18"/>
                <w:szCs w:val="18"/>
                <w:color w:val="auto"/>
                <w:w w:val="97"/>
              </w:rPr>
              <w:t>(d) Exhibits.</w:t>
            </w:r>
          </w:p>
        </w:tc>
        <w:tc>
          <w:tcPr>
            <w:tcW w:w="20" w:type="dxa"/>
            <w:vAlign w:val="bottom"/>
          </w:tcPr>
          <w:p>
            <w:pPr>
              <w:spacing w:after="0"/>
              <w:rPr>
                <w:sz w:val="20"/>
                <w:szCs w:val="20"/>
                <w:color w:val="auto"/>
              </w:rPr>
            </w:pPr>
          </w:p>
        </w:tc>
        <w:tc>
          <w:tcPr>
            <w:tcW w:w="4120" w:type="dxa"/>
            <w:vAlign w:val="bottom"/>
          </w:tcPr>
          <w:p>
            <w:pPr>
              <w:spacing w:after="0"/>
              <w:rPr>
                <w:sz w:val="20"/>
                <w:szCs w:val="20"/>
                <w:color w:val="auto"/>
              </w:rPr>
            </w:pPr>
          </w:p>
        </w:tc>
        <w:tc>
          <w:tcPr>
            <w:tcW w:w="3720" w:type="dxa"/>
            <w:vAlign w:val="bottom"/>
          </w:tcPr>
          <w:p>
            <w:pPr>
              <w:spacing w:after="0"/>
              <w:rPr>
                <w:sz w:val="20"/>
                <w:szCs w:val="20"/>
                <w:color w:val="auto"/>
              </w:rPr>
            </w:pPr>
          </w:p>
        </w:tc>
        <w:tc>
          <w:tcPr>
            <w:tcW w:w="1540" w:type="dxa"/>
            <w:vAlign w:val="bottom"/>
          </w:tcPr>
          <w:p>
            <w:pPr>
              <w:spacing w:after="0"/>
              <w:rPr>
                <w:sz w:val="20"/>
                <w:szCs w:val="20"/>
                <w:color w:val="auto"/>
              </w:rPr>
            </w:pPr>
          </w:p>
        </w:tc>
      </w:tr>
      <w:tr>
        <w:trPr>
          <w:trHeight w:val="513"/>
        </w:trPr>
        <w:tc>
          <w:tcPr>
            <w:tcW w:w="1840" w:type="dxa"/>
            <w:vAlign w:val="bottom"/>
            <w:gridSpan w:val="2"/>
          </w:tcPr>
          <w:p>
            <w:pPr>
              <w:jc w:val="right"/>
              <w:ind w:right="940"/>
              <w:spacing w:after="0"/>
              <w:rPr>
                <w:sz w:val="20"/>
                <w:szCs w:val="20"/>
                <w:color w:val="auto"/>
              </w:rPr>
            </w:pPr>
            <w:r>
              <w:rPr>
                <w:rFonts w:ascii="Times New Roman" w:cs="Times New Roman" w:eastAsia="Times New Roman" w:hAnsi="Times New Roman"/>
                <w:sz w:val="18"/>
                <w:szCs w:val="18"/>
                <w:b w:val="1"/>
                <w:bCs w:val="1"/>
                <w:color w:val="auto"/>
                <w:w w:val="99"/>
              </w:rPr>
              <w:t>Exhibit No.</w:t>
            </w:r>
          </w:p>
        </w:tc>
        <w:tc>
          <w:tcPr>
            <w:tcW w:w="20" w:type="dxa"/>
            <w:vAlign w:val="bottom"/>
          </w:tcPr>
          <w:p>
            <w:pPr>
              <w:spacing w:after="0"/>
              <w:rPr>
                <w:sz w:val="24"/>
                <w:szCs w:val="24"/>
                <w:color w:val="auto"/>
              </w:rPr>
            </w:pPr>
          </w:p>
        </w:tc>
        <w:tc>
          <w:tcPr>
            <w:tcW w:w="938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40"/>
        </w:trPr>
        <w:tc>
          <w:tcPr>
            <w:tcW w:w="1600" w:type="dxa"/>
            <w:vAlign w:val="bottom"/>
            <w:tcBorders>
              <w:bottom w:val="single" w:sz="8" w:color="auto"/>
            </w:tcBorders>
          </w:tcPr>
          <w:p>
            <w:pPr>
              <w:spacing w:after="0"/>
              <w:rPr>
                <w:sz w:val="3"/>
                <w:szCs w:val="3"/>
                <w:color w:val="auto"/>
              </w:rPr>
            </w:pPr>
          </w:p>
        </w:tc>
        <w:tc>
          <w:tcPr>
            <w:tcW w:w="240" w:type="dxa"/>
            <w:vAlign w:val="bottom"/>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4120" w:type="dxa"/>
            <w:vAlign w:val="bottom"/>
            <w:tcBorders>
              <w:bottom w:val="single" w:sz="8" w:color="auto"/>
            </w:tcBorders>
          </w:tcPr>
          <w:p>
            <w:pPr>
              <w:spacing w:after="0"/>
              <w:rPr>
                <w:sz w:val="3"/>
                <w:szCs w:val="3"/>
                <w:color w:val="auto"/>
              </w:rPr>
            </w:pPr>
          </w:p>
        </w:tc>
        <w:tc>
          <w:tcPr>
            <w:tcW w:w="3720" w:type="dxa"/>
            <w:vAlign w:val="bottom"/>
            <w:tcBorders>
              <w:bottom w:val="single" w:sz="8" w:color="auto"/>
            </w:tcBorders>
          </w:tcPr>
          <w:p>
            <w:pPr>
              <w:spacing w:after="0"/>
              <w:rPr>
                <w:sz w:val="3"/>
                <w:szCs w:val="3"/>
                <w:color w:val="auto"/>
              </w:rPr>
            </w:pPr>
          </w:p>
        </w:tc>
        <w:tc>
          <w:tcPr>
            <w:tcW w:w="1540" w:type="dxa"/>
            <w:vAlign w:val="bottom"/>
          </w:tcPr>
          <w:p>
            <w:pPr>
              <w:spacing w:after="0"/>
              <w:rPr>
                <w:sz w:val="3"/>
                <w:szCs w:val="3"/>
                <w:color w:val="auto"/>
              </w:rPr>
            </w:pPr>
          </w:p>
        </w:tc>
      </w:tr>
      <w:tr>
        <w:trPr>
          <w:trHeight w:val="196"/>
        </w:trPr>
        <w:tc>
          <w:tcPr>
            <w:tcW w:w="1600" w:type="dxa"/>
            <w:vAlign w:val="bottom"/>
          </w:tcPr>
          <w:p>
            <w:pPr>
              <w:ind w:left="20"/>
              <w:spacing w:after="0" w:line="196" w:lineRule="exact"/>
              <w:rPr>
                <w:sz w:val="20"/>
                <w:szCs w:val="20"/>
                <w:color w:val="auto"/>
              </w:rPr>
            </w:pPr>
            <w:r>
              <w:rPr>
                <w:rFonts w:ascii="Times New Roman" w:cs="Times New Roman" w:eastAsia="Times New Roman" w:hAnsi="Times New Roman"/>
                <w:sz w:val="18"/>
                <w:szCs w:val="18"/>
                <w:color w:val="auto"/>
              </w:rPr>
              <w:t>10.1</w:t>
            </w: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9380" w:type="dxa"/>
            <w:vAlign w:val="bottom"/>
            <w:gridSpan w:val="3"/>
          </w:tcPr>
          <w:p>
            <w:pPr>
              <w:spacing w:after="0" w:line="196" w:lineRule="exact"/>
              <w:rPr>
                <w:sz w:val="20"/>
                <w:szCs w:val="20"/>
                <w:color w:val="auto"/>
              </w:rPr>
            </w:pPr>
            <w:r>
              <w:rPr>
                <w:rFonts w:ascii="Times New Roman" w:cs="Times New Roman" w:eastAsia="Times New Roman" w:hAnsi="Times New Roman"/>
                <w:sz w:val="18"/>
                <w:szCs w:val="18"/>
                <w:color w:val="0000FF"/>
              </w:rPr>
              <w:t>Second Amendment to the Loan and Security Agreement</w:t>
            </w:r>
          </w:p>
        </w:tc>
      </w:tr>
      <w:tr>
        <w:trPr>
          <w:trHeight w:val="20"/>
        </w:trPr>
        <w:tc>
          <w:tcPr>
            <w:tcW w:w="16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120" w:type="dxa"/>
            <w:vAlign w:val="bottom"/>
            <w:shd w:val="clear" w:color="auto" w:fill="0000FF"/>
          </w:tcPr>
          <w:p>
            <w:pPr>
              <w:spacing w:after="0" w:line="20" w:lineRule="exact"/>
              <w:rPr>
                <w:sz w:val="1"/>
                <w:szCs w:val="1"/>
                <w:color w:val="auto"/>
              </w:rPr>
            </w:pPr>
          </w:p>
        </w:tc>
        <w:tc>
          <w:tcPr>
            <w:tcW w:w="5260" w:type="dxa"/>
            <w:vAlign w:val="bottom"/>
            <w:gridSpan w:val="2"/>
          </w:tcPr>
          <w:p>
            <w:pPr>
              <w:spacing w:after="0" w:line="20" w:lineRule="exact"/>
              <w:rPr>
                <w:sz w:val="1"/>
                <w:szCs w:val="1"/>
                <w:color w:val="auto"/>
              </w:rPr>
            </w:pPr>
          </w:p>
        </w:tc>
      </w:tr>
      <w:tr>
        <w:trPr>
          <w:trHeight w:val="304"/>
        </w:trPr>
        <w:tc>
          <w:tcPr>
            <w:tcW w:w="16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104</w:t>
            </w: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3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Cover Page Interactive Data File (formatted as Inline XBRL)</w:t>
            </w:r>
          </w:p>
        </w:tc>
      </w:tr>
      <w:tr>
        <w:trPr>
          <w:trHeight w:val="2167"/>
        </w:trPr>
        <w:tc>
          <w:tcPr>
            <w:tcW w:w="160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4120" w:type="dxa"/>
            <w:vAlign w:val="bottom"/>
            <w:tcBorders>
              <w:bottom w:val="single" w:sz="8" w:color="9A9A9A"/>
            </w:tcBorders>
          </w:tcPr>
          <w:p>
            <w:pPr>
              <w:spacing w:after="0"/>
              <w:rPr>
                <w:sz w:val="24"/>
                <w:szCs w:val="24"/>
                <w:color w:val="auto"/>
              </w:rPr>
            </w:pPr>
          </w:p>
        </w:tc>
        <w:tc>
          <w:tcPr>
            <w:tcW w:w="3720" w:type="dxa"/>
            <w:vAlign w:val="bottom"/>
            <w:tcBorders>
              <w:bottom w:val="single" w:sz="8" w:color="9A9A9A"/>
            </w:tcBorders>
          </w:tcPr>
          <w:p>
            <w:pPr>
              <w:spacing w:after="0"/>
              <w:rPr>
                <w:sz w:val="24"/>
                <w:szCs w:val="24"/>
                <w:color w:val="auto"/>
              </w:rPr>
            </w:pPr>
          </w:p>
        </w:tc>
        <w:tc>
          <w:tcPr>
            <w:tcW w:w="154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008" w:right="339" w:bottom="1440" w:gutter="0" w:footer="0" w:header="0"/>
        </w:sectPr>
      </w:pPr>
    </w:p>
    <w:bookmarkStart w:id="2" w:name="page3"/>
    <w:bookmarkEnd w:id="2"/>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56"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239" w:lineRule="exact"/>
        <w:rPr>
          <w:sz w:val="20"/>
          <w:szCs w:val="20"/>
          <w:color w:val="auto"/>
        </w:rPr>
      </w:pPr>
    </w:p>
    <w:p>
      <w:pPr>
        <w:ind w:left="20"/>
        <w:spacing w:after="0"/>
        <w:tabs>
          <w:tab w:leader="none" w:pos="640" w:val="left"/>
          <w:tab w:leader="none" w:pos="6780" w:val="left"/>
        </w:tabs>
        <w:rPr>
          <w:sz w:val="20"/>
          <w:szCs w:val="20"/>
          <w:color w:val="auto"/>
        </w:rPr>
      </w:pPr>
      <w:r>
        <w:rPr>
          <w:rFonts w:ascii="Times New Roman" w:cs="Times New Roman" w:eastAsia="Times New Roman" w:hAnsi="Times New Roman"/>
          <w:sz w:val="18"/>
          <w:szCs w:val="18"/>
          <w:color w:val="auto"/>
        </w:rPr>
        <w:t>Date:</w:t>
        <w:tab/>
        <w:t>April 27, 2022</w:t>
      </w:r>
      <w:r>
        <w:rPr>
          <w:sz w:val="20"/>
          <w:szCs w:val="20"/>
          <w:color w:val="auto"/>
        </w:rPr>
        <w:tab/>
      </w:r>
      <w:r>
        <w:rPr>
          <w:rFonts w:ascii="Times New Roman" w:cs="Times New Roman" w:eastAsia="Times New Roman" w:hAnsi="Times New Roman"/>
          <w:sz w:val="18"/>
          <w:szCs w:val="18"/>
          <w:b w:val="1"/>
          <w:bCs w:val="1"/>
          <w:color w:val="auto"/>
        </w:rPr>
        <w:t>Backblaze, Inc.</w:t>
      </w:r>
    </w:p>
    <w:p>
      <w:pPr>
        <w:spacing w:after="0" w:line="135" w:lineRule="exact"/>
        <w:rPr>
          <w:sz w:val="20"/>
          <w:szCs w:val="20"/>
          <w:color w:val="auto"/>
        </w:rPr>
      </w:pPr>
    </w:p>
    <w:p>
      <w:pPr>
        <w:ind w:left="6800"/>
        <w:spacing w:after="0"/>
        <w:tabs>
          <w:tab w:leader="none" w:pos="7260" w:val="left"/>
        </w:tabs>
        <w:rPr>
          <w:sz w:val="20"/>
          <w:szCs w:val="20"/>
          <w:color w:val="auto"/>
        </w:rPr>
      </w:pPr>
      <w:r>
        <w:rPr>
          <w:rFonts w:ascii="Times New Roman" w:cs="Times New Roman" w:eastAsia="Times New Roman" w:hAnsi="Times New Roman"/>
          <w:sz w:val="18"/>
          <w:szCs w:val="18"/>
          <w:color w:val="auto"/>
        </w:rPr>
        <w:t>By:</w:t>
        <w:tab/>
        <w:t>/s/ Frank Patchel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4617085</wp:posOffset>
            </wp:positionH>
            <wp:positionV relativeFrom="paragraph">
              <wp:posOffset>43180</wp:posOffset>
            </wp:positionV>
            <wp:extent cx="252031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520315" cy="8255"/>
                    </a:xfrm>
                    <a:prstGeom prst="rect">
                      <a:avLst/>
                    </a:prstGeom>
                    <a:noFill/>
                  </pic:spPr>
                </pic:pic>
              </a:graphicData>
            </a:graphic>
          </wp:anchor>
        </w:drawing>
      </w:r>
    </w:p>
    <w:p>
      <w:pPr>
        <w:spacing w:after="0" w:line="70" w:lineRule="exact"/>
        <w:rPr>
          <w:sz w:val="20"/>
          <w:szCs w:val="20"/>
          <w:color w:val="auto"/>
        </w:rPr>
      </w:pPr>
    </w:p>
    <w:p>
      <w:pPr>
        <w:ind w:left="7280"/>
        <w:spacing w:after="0"/>
        <w:rPr>
          <w:sz w:val="20"/>
          <w:szCs w:val="20"/>
          <w:color w:val="auto"/>
        </w:rPr>
      </w:pPr>
      <w:r>
        <w:rPr>
          <w:rFonts w:ascii="Times New Roman" w:cs="Times New Roman" w:eastAsia="Times New Roman" w:hAnsi="Times New Roman"/>
          <w:sz w:val="18"/>
          <w:szCs w:val="18"/>
          <w:color w:val="auto"/>
        </w:rPr>
        <w:t>Frank Patchel, Chief Financial Officer</w:t>
      </w:r>
    </w:p>
    <w:p>
      <w:pPr>
        <w:sectPr>
          <w:pgSz w:w="11900" w:h="16838" w:orient="portrait"/>
          <w:cols w:equalWidth="0" w:num="1">
            <w:col w:w="11240"/>
          </w:cols>
          <w:pgMar w:left="320" w:top="1008" w:right="339" w:bottom="1440" w:gutter="0" w:footer="0" w:header="0"/>
        </w:sectPr>
      </w:pPr>
    </w:p>
    <w:bookmarkStart w:id="3" w:name="page4"/>
    <w:bookmarkEnd w:id="3"/>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SECOND AMENDMENT TO LOAN AND SECURITY AGREEMENT</w:t>
      </w:r>
    </w:p>
    <w:p>
      <w:pPr>
        <w:spacing w:after="0" w:line="243" w:lineRule="exact"/>
        <w:rPr>
          <w:sz w:val="20"/>
          <w:szCs w:val="20"/>
          <w:color w:val="auto"/>
        </w:rPr>
      </w:pPr>
    </w:p>
    <w:p>
      <w:pPr>
        <w:ind w:right="280"/>
        <w:spacing w:after="0" w:line="266" w:lineRule="auto"/>
        <w:rPr>
          <w:sz w:val="20"/>
          <w:szCs w:val="20"/>
          <w:color w:val="auto"/>
        </w:rPr>
      </w:pPr>
      <w:r>
        <w:rPr>
          <w:rFonts w:ascii="Times New Roman" w:cs="Times New Roman" w:eastAsia="Times New Roman" w:hAnsi="Times New Roman"/>
          <w:sz w:val="18"/>
          <w:szCs w:val="18"/>
          <w:color w:val="auto"/>
        </w:rPr>
        <w:t>This Second Amendment to Loan and Security Agreement (this "Amendment") is entered into as of April 21, 2022, by and between City National Bank ("Bank") and Backblaze, Inc. ("Borrower").</w:t>
      </w:r>
    </w:p>
    <w:p>
      <w:pPr>
        <w:spacing w:after="0" w:line="185" w:lineRule="exact"/>
        <w:rPr>
          <w:sz w:val="20"/>
          <w:szCs w:val="20"/>
          <w:color w:val="auto"/>
        </w:rPr>
      </w:pPr>
    </w:p>
    <w:p>
      <w:pPr>
        <w:ind w:left="5980"/>
        <w:spacing w:after="0"/>
        <w:rPr>
          <w:sz w:val="20"/>
          <w:szCs w:val="20"/>
          <w:color w:val="auto"/>
        </w:rPr>
      </w:pPr>
      <w:r>
        <w:rPr>
          <w:rFonts w:ascii="Times New Roman" w:cs="Times New Roman" w:eastAsia="Times New Roman" w:hAnsi="Times New Roman"/>
          <w:sz w:val="18"/>
          <w:szCs w:val="18"/>
          <w:b w:val="1"/>
          <w:bCs w:val="1"/>
          <w:color w:val="auto"/>
        </w:rPr>
        <w:t>RECITALS</w:t>
      </w:r>
    </w:p>
    <w:p>
      <w:pPr>
        <w:spacing w:after="0" w:line="243" w:lineRule="exact"/>
        <w:rPr>
          <w:sz w:val="20"/>
          <w:szCs w:val="20"/>
          <w:color w:val="auto"/>
        </w:rPr>
      </w:pPr>
    </w:p>
    <w:p>
      <w:pPr>
        <w:ind w:left="660" w:right="140" w:hanging="328"/>
        <w:spacing w:after="0" w:line="237" w:lineRule="auto"/>
        <w:tabs>
          <w:tab w:leader="none" w:pos="659" w:val="left"/>
        </w:tabs>
        <w:numPr>
          <w:ilvl w:val="0"/>
          <w:numId w:val="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Bank and Borrower have entered into that certain Loan and Security Agreement dated as of October 21, 2021 (as amended from time to time, the "Loan Agreement").</w:t>
      </w:r>
    </w:p>
    <w:p>
      <w:pPr>
        <w:spacing w:after="0" w:line="185" w:lineRule="exact"/>
        <w:rPr>
          <w:rFonts w:ascii="Times New Roman" w:cs="Times New Roman" w:eastAsia="Times New Roman" w:hAnsi="Times New Roman"/>
          <w:sz w:val="18"/>
          <w:szCs w:val="18"/>
          <w:b w:val="1"/>
          <w:bCs w:val="1"/>
          <w:color w:val="auto"/>
        </w:rPr>
      </w:pPr>
    </w:p>
    <w:p>
      <w:pPr>
        <w:ind w:left="640" w:hanging="308"/>
        <w:spacing w:after="0"/>
        <w:tabs>
          <w:tab w:leader="none" w:pos="640" w:val="left"/>
        </w:tabs>
        <w:numPr>
          <w:ilvl w:val="0"/>
          <w:numId w:val="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Borrower has requested that Bank amend the Loan Agreement, and Bank has agreed to do so.</w:t>
      </w:r>
    </w:p>
    <w:p>
      <w:pPr>
        <w:spacing w:after="0" w:line="221"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18"/>
          <w:szCs w:val="18"/>
          <w:b w:val="1"/>
          <w:bCs w:val="1"/>
          <w:color w:val="auto"/>
        </w:rPr>
        <w:t>AGREEMENT</w:t>
      </w:r>
    </w:p>
    <w:p>
      <w:pPr>
        <w:spacing w:after="0" w:line="239"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18"/>
          <w:szCs w:val="18"/>
          <w:b w:val="1"/>
          <w:bCs w:val="1"/>
          <w:color w:val="auto"/>
        </w:rPr>
        <w:t xml:space="preserve">Now, THEREFORE, </w:t>
      </w:r>
      <w:r>
        <w:rPr>
          <w:rFonts w:ascii="Times New Roman" w:cs="Times New Roman" w:eastAsia="Times New Roman" w:hAnsi="Times New Roman"/>
          <w:sz w:val="18"/>
          <w:szCs w:val="18"/>
          <w:color w:val="auto"/>
        </w:rPr>
        <w:t>the parties agree as follows:</w:t>
      </w:r>
    </w:p>
    <w:p>
      <w:pPr>
        <w:spacing w:after="0" w:line="225" w:lineRule="exact"/>
        <w:rPr>
          <w:sz w:val="20"/>
          <w:szCs w:val="20"/>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Definitions. </w:t>
      </w:r>
      <w:r>
        <w:rPr>
          <w:rFonts w:ascii="Times New Roman" w:cs="Times New Roman" w:eastAsia="Times New Roman" w:hAnsi="Times New Roman"/>
          <w:sz w:val="18"/>
          <w:szCs w:val="18"/>
          <w:color w:val="auto"/>
        </w:rPr>
        <w:t>Capitalized terms used but not defined in this Amendment shall have the meanings given to them in the Loan Agreement.</w:t>
      </w:r>
    </w:p>
    <w:p>
      <w:pPr>
        <w:spacing w:after="0" w:line="225" w:lineRule="exact"/>
        <w:rPr>
          <w:rFonts w:ascii="Times New Roman" w:cs="Times New Roman" w:eastAsia="Times New Roman" w:hAnsi="Times New Roman"/>
          <w:sz w:val="18"/>
          <w:szCs w:val="18"/>
          <w:b w:val="1"/>
          <w:bCs w:val="1"/>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Amendments to Loan Agreement.</w:t>
      </w:r>
    </w:p>
    <w:p>
      <w:pPr>
        <w:spacing w:after="0" w:line="225" w:lineRule="exact"/>
        <w:rPr>
          <w:rFonts w:ascii="Times New Roman" w:cs="Times New Roman" w:eastAsia="Times New Roman" w:hAnsi="Times New Roman"/>
          <w:sz w:val="18"/>
          <w:szCs w:val="18"/>
          <w:b w:val="1"/>
          <w:bCs w:val="1"/>
          <w:color w:val="auto"/>
        </w:rPr>
      </w:pPr>
    </w:p>
    <w:p>
      <w:pPr>
        <w:ind w:left="660" w:right="460"/>
        <w:spacing w:after="0" w:line="493"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2.1 Section 1.1 (Definitions). </w:t>
      </w:r>
      <w:r>
        <w:rPr>
          <w:rFonts w:ascii="Times New Roman" w:cs="Times New Roman" w:eastAsia="Times New Roman" w:hAnsi="Times New Roman"/>
          <w:sz w:val="18"/>
          <w:szCs w:val="18"/>
          <w:color w:val="auto"/>
        </w:rPr>
        <w:t>The following terms and their respective definitions set forth in Section 1.1 are amended, to read as follows: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"Revolving Line" means a Credit Extension of up to Thirty Million Dollars ($30,000,000).</w:t>
      </w:r>
    </w:p>
    <w:p>
      <w:pPr>
        <w:ind w:left="66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2.2  Section 1.1 (Definitions). </w:t>
      </w:r>
      <w:r>
        <w:rPr>
          <w:rFonts w:ascii="Times New Roman" w:cs="Times New Roman" w:eastAsia="Times New Roman" w:hAnsi="Times New Roman"/>
          <w:sz w:val="18"/>
          <w:szCs w:val="18"/>
          <w:color w:val="auto"/>
        </w:rPr>
        <w:t>The defined term "Accordion Event" is deleted from the Loan Agreement.</w:t>
      </w:r>
    </w:p>
    <w:p>
      <w:pPr>
        <w:spacing w:after="0" w:line="211" w:lineRule="exact"/>
        <w:rPr>
          <w:rFonts w:ascii="Times New Roman" w:cs="Times New Roman" w:eastAsia="Times New Roman" w:hAnsi="Times New Roman"/>
          <w:sz w:val="18"/>
          <w:szCs w:val="18"/>
          <w:b w:val="1"/>
          <w:bCs w:val="1"/>
          <w:color w:val="auto"/>
        </w:rPr>
      </w:pPr>
    </w:p>
    <w:p>
      <w:pPr>
        <w:ind w:left="66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2.3  Section 2.8 (Anniversary Fee). </w:t>
      </w:r>
      <w:r>
        <w:rPr>
          <w:rFonts w:ascii="Times New Roman" w:cs="Times New Roman" w:eastAsia="Times New Roman" w:hAnsi="Times New Roman"/>
          <w:sz w:val="18"/>
          <w:szCs w:val="18"/>
          <w:color w:val="auto"/>
        </w:rPr>
        <w:t>Section 2.8(b) is deleted from the Loan Agreement.</w:t>
      </w:r>
    </w:p>
    <w:p>
      <w:pPr>
        <w:spacing w:after="0" w:line="211" w:lineRule="exact"/>
        <w:rPr>
          <w:rFonts w:ascii="Times New Roman" w:cs="Times New Roman" w:eastAsia="Times New Roman" w:hAnsi="Times New Roman"/>
          <w:sz w:val="18"/>
          <w:szCs w:val="18"/>
          <w:b w:val="1"/>
          <w:bCs w:val="1"/>
          <w:color w:val="auto"/>
        </w:rPr>
      </w:pPr>
    </w:p>
    <w:p>
      <w:pPr>
        <w:ind w:left="66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2.4  Section 3.3 (Post Closing Conditions). </w:t>
      </w:r>
      <w:r>
        <w:rPr>
          <w:rFonts w:ascii="Times New Roman" w:cs="Times New Roman" w:eastAsia="Times New Roman" w:hAnsi="Times New Roman"/>
          <w:sz w:val="18"/>
          <w:szCs w:val="18"/>
          <w:color w:val="auto"/>
        </w:rPr>
        <w:t>Clauses 3.3(ii) and 3.3(iii) are deleted from the Loan Agreement.</w:t>
      </w:r>
    </w:p>
    <w:p>
      <w:pPr>
        <w:spacing w:after="0" w:line="225" w:lineRule="exact"/>
        <w:rPr>
          <w:rFonts w:ascii="Times New Roman" w:cs="Times New Roman" w:eastAsia="Times New Roman" w:hAnsi="Times New Roman"/>
          <w:sz w:val="18"/>
          <w:szCs w:val="18"/>
          <w:b w:val="1"/>
          <w:bCs w:val="1"/>
          <w:color w:val="auto"/>
        </w:rPr>
      </w:pPr>
    </w:p>
    <w:p>
      <w:pPr>
        <w:ind w:left="660" w:right="20"/>
        <w:spacing w:after="0" w:line="255"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2.5 Section 6.3 (Reporting). </w:t>
      </w:r>
      <w:r>
        <w:rPr>
          <w:rFonts w:ascii="Times New Roman" w:cs="Times New Roman" w:eastAsia="Times New Roman" w:hAnsi="Times New Roman"/>
          <w:sz w:val="18"/>
          <w:szCs w:val="18"/>
          <w:color w:val="auto"/>
        </w:rPr>
        <w:t>The reference in Section 6.3 and the corresponding reference in the Compliance Certificate to "forty-five (45)</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days" is amended to read "fifty-two (52) days".</w:t>
      </w:r>
    </w:p>
    <w:p>
      <w:pPr>
        <w:spacing w:after="0" w:line="194" w:lineRule="exact"/>
        <w:rPr>
          <w:rFonts w:ascii="Times New Roman" w:cs="Times New Roman" w:eastAsia="Times New Roman" w:hAnsi="Times New Roman"/>
          <w:sz w:val="18"/>
          <w:szCs w:val="18"/>
          <w:b w:val="1"/>
          <w:bCs w:val="1"/>
          <w:color w:val="auto"/>
        </w:rPr>
      </w:pPr>
    </w:p>
    <w:p>
      <w:pPr>
        <w:ind w:left="660" w:right="20"/>
        <w:spacing w:after="0" w:line="271"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2.6 Exhibit D (Compliance Certificate). </w:t>
      </w:r>
      <w:r>
        <w:rPr>
          <w:rFonts w:ascii="Times New Roman" w:cs="Times New Roman" w:eastAsia="Times New Roman" w:hAnsi="Times New Roman"/>
          <w:sz w:val="18"/>
          <w:szCs w:val="18"/>
          <w:color w:val="auto"/>
        </w:rPr>
        <w:t>The Compliance Certificate is amended in its entirety and replaced with the Compliance Certificate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form of Exhibit D attached hereto.</w:t>
      </w:r>
    </w:p>
    <w:p>
      <w:pPr>
        <w:spacing w:after="0" w:line="180" w:lineRule="exact"/>
        <w:rPr>
          <w:rFonts w:ascii="Times New Roman" w:cs="Times New Roman" w:eastAsia="Times New Roman" w:hAnsi="Times New Roman"/>
          <w:sz w:val="18"/>
          <w:szCs w:val="18"/>
          <w:b w:val="1"/>
          <w:bCs w:val="1"/>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Limitation of Amendments.</w:t>
      </w:r>
    </w:p>
    <w:p>
      <w:pPr>
        <w:spacing w:after="0" w:line="238" w:lineRule="exact"/>
        <w:rPr>
          <w:rFonts w:ascii="Times New Roman" w:cs="Times New Roman" w:eastAsia="Times New Roman" w:hAnsi="Times New Roman"/>
          <w:sz w:val="18"/>
          <w:szCs w:val="18"/>
          <w:b w:val="1"/>
          <w:bCs w:val="1"/>
          <w:color w:val="auto"/>
        </w:rPr>
      </w:pPr>
    </w:p>
    <w:p>
      <w:pPr>
        <w:jc w:val="both"/>
        <w:ind w:left="660"/>
        <w:spacing w:after="0" w:line="227"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3.1 </w:t>
      </w:r>
      <w:r>
        <w:rPr>
          <w:rFonts w:ascii="Times New Roman" w:cs="Times New Roman" w:eastAsia="Times New Roman" w:hAnsi="Times New Roman"/>
          <w:sz w:val="18"/>
          <w:szCs w:val="18"/>
          <w:color w:val="auto"/>
        </w:rPr>
        <w:t>The amendments set forth in Section 2, above, are effective for the purposes set forth herein and shall be limited precisely as written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shall not be deemed to (a) be a consent to any amendment, waiver or modification of any other term or condition of any Loan Document, or (b) otherwise prejudice any right or remedy which Bank may now have or may have in the future under or in connection with any Loan Document.</w:t>
      </w:r>
    </w:p>
    <w:p>
      <w:pPr>
        <w:spacing w:after="0" w:line="168" w:lineRule="exact"/>
        <w:rPr>
          <w:rFonts w:ascii="Times New Roman" w:cs="Times New Roman" w:eastAsia="Times New Roman" w:hAnsi="Times New Roman"/>
          <w:sz w:val="18"/>
          <w:szCs w:val="18"/>
          <w:b w:val="1"/>
          <w:bCs w:val="1"/>
          <w:color w:val="auto"/>
        </w:rPr>
      </w:pPr>
    </w:p>
    <w:p>
      <w:pPr>
        <w:jc w:val="both"/>
        <w:ind w:left="660"/>
        <w:spacing w:after="0" w:line="227"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3.2 </w:t>
      </w:r>
      <w:r>
        <w:rPr>
          <w:rFonts w:ascii="Times New Roman" w:cs="Times New Roman" w:eastAsia="Times New Roman" w:hAnsi="Times New Roman"/>
          <w:sz w:val="18"/>
          <w:szCs w:val="18"/>
          <w:color w:val="auto"/>
        </w:rPr>
        <w:t>This Amendment shall be construed in connection with and as part of the Loan Documents and all terms, conditions, representations,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warranties, covenants and agreements set forth in the Loan Documents, except as herein amended, are hereby ratified and confirmed and shall remain in full force and effect.</w:t>
      </w:r>
    </w:p>
    <w:p>
      <w:pPr>
        <w:spacing w:after="0" w:line="195" w:lineRule="exact"/>
        <w:rPr>
          <w:rFonts w:ascii="Times New Roman" w:cs="Times New Roman" w:eastAsia="Times New Roman" w:hAnsi="Times New Roman"/>
          <w:sz w:val="18"/>
          <w:szCs w:val="18"/>
          <w:b w:val="1"/>
          <w:bCs w:val="1"/>
          <w:color w:val="auto"/>
        </w:rPr>
      </w:pPr>
    </w:p>
    <w:p>
      <w:pPr>
        <w:ind w:left="640" w:hanging="308"/>
        <w:spacing w:after="0"/>
        <w:tabs>
          <w:tab w:leader="none" w:pos="640" w:val="left"/>
        </w:tabs>
        <w:numPr>
          <w:ilvl w:val="0"/>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Representations and Warranties. </w:t>
      </w:r>
      <w:r>
        <w:rPr>
          <w:rFonts w:ascii="Times New Roman" w:cs="Times New Roman" w:eastAsia="Times New Roman" w:hAnsi="Times New Roman"/>
          <w:sz w:val="18"/>
          <w:szCs w:val="18"/>
          <w:color w:val="auto"/>
        </w:rPr>
        <w:t>To induce Bank to enter into this Amendment, Borrower hereby represents and warrants to Bank as follows:</w:t>
      </w:r>
    </w:p>
    <w:p>
      <w:pPr>
        <w:spacing w:after="0" w:line="238" w:lineRule="exact"/>
        <w:rPr>
          <w:rFonts w:ascii="Times New Roman" w:cs="Times New Roman" w:eastAsia="Times New Roman" w:hAnsi="Times New Roman"/>
          <w:sz w:val="18"/>
          <w:szCs w:val="18"/>
          <w:b w:val="1"/>
          <w:bCs w:val="1"/>
          <w:color w:val="auto"/>
        </w:rPr>
      </w:pPr>
    </w:p>
    <w:p>
      <w:pPr>
        <w:jc w:val="both"/>
        <w:ind w:left="660"/>
        <w:spacing w:after="0" w:line="238"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4.1 </w:t>
      </w:r>
      <w:r>
        <w:rPr>
          <w:rFonts w:ascii="Times New Roman" w:cs="Times New Roman" w:eastAsia="Times New Roman" w:hAnsi="Times New Roman"/>
          <w:sz w:val="18"/>
          <w:szCs w:val="18"/>
          <w:color w:val="auto"/>
        </w:rPr>
        <w:t>Immediately after giving effect to this Amendment (a) the representations and warranties contained in the Loan Documents are true, accurate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complete in all material respects as of the date hereof (except to the extent such representations and warranties relate to an earlier date, in which case they are true and correct as of such date), and (b) no Event of Default has occurred and is continuing;</w:t>
      </w:r>
    </w:p>
    <w:p>
      <w:pPr>
        <w:spacing w:after="0" w:line="194" w:lineRule="exact"/>
        <w:rPr>
          <w:rFonts w:ascii="Times New Roman" w:cs="Times New Roman" w:eastAsia="Times New Roman" w:hAnsi="Times New Roman"/>
          <w:sz w:val="18"/>
          <w:szCs w:val="18"/>
          <w:b w:val="1"/>
          <w:bCs w:val="1"/>
          <w:color w:val="auto"/>
        </w:rPr>
      </w:pPr>
    </w:p>
    <w:p>
      <w:pPr>
        <w:ind w:left="660" w:right="20"/>
        <w:spacing w:after="0" w:line="255"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4.2 </w:t>
      </w:r>
      <w:r>
        <w:rPr>
          <w:rFonts w:ascii="Times New Roman" w:cs="Times New Roman" w:eastAsia="Times New Roman" w:hAnsi="Times New Roman"/>
          <w:sz w:val="18"/>
          <w:szCs w:val="18"/>
          <w:color w:val="auto"/>
        </w:rPr>
        <w:t>Borrower has the power and authority to execute and deliver this Amendment and to perform its obligations under the Loan Agreement, as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amended by this Amendment;</w:t>
      </w:r>
    </w:p>
    <w:p>
      <w:pPr>
        <w:sectPr>
          <w:pgSz w:w="11900" w:h="16838" w:orient="portrait"/>
          <w:cols w:equalWidth="0" w:num="1">
            <w:col w:w="11240"/>
          </w:cols>
          <w:pgMar w:left="320" w:top="995"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color w:val="auto"/>
        </w:rPr>
        <w:t>1</w:t>
      </w:r>
    </w:p>
    <w:p>
      <w:pPr>
        <w:sectPr>
          <w:pgSz w:w="11900" w:h="16838" w:orient="portrait"/>
          <w:cols w:equalWidth="0" w:num="1">
            <w:col w:w="11240"/>
          </w:cols>
          <w:pgMar w:left="320" w:top="995" w:right="339" w:bottom="1440" w:gutter="0" w:footer="0" w:header="0"/>
          <w:type w:val="continuous"/>
        </w:sectPr>
      </w:pPr>
    </w:p>
    <w:bookmarkStart w:id="4" w:name="page5"/>
    <w:bookmarkEnd w:id="4"/>
    <w:p>
      <w:pPr>
        <w:jc w:val="both"/>
        <w:ind w:left="328" w:right="20"/>
        <w:spacing w:after="0" w:line="255" w:lineRule="auto"/>
        <w:rPr>
          <w:sz w:val="20"/>
          <w:szCs w:val="20"/>
          <w:color w:val="auto"/>
        </w:rPr>
      </w:pPr>
      <w:r>
        <w:rPr>
          <w:rFonts w:ascii="Times New Roman" w:cs="Times New Roman" w:eastAsia="Times New Roman" w:hAnsi="Times New Roman"/>
          <w:sz w:val="18"/>
          <w:szCs w:val="18"/>
          <w:b w:val="1"/>
          <w:bCs w:val="1"/>
          <w:color w:val="auto"/>
        </w:rPr>
        <w:t xml:space="preserve">4.3 </w:t>
      </w:r>
      <w:r>
        <w:rPr>
          <w:rFonts w:ascii="Times New Roman" w:cs="Times New Roman" w:eastAsia="Times New Roman" w:hAnsi="Times New Roman"/>
          <w:sz w:val="18"/>
          <w:szCs w:val="18"/>
          <w:color w:val="auto"/>
        </w:rPr>
        <w:t>The organizational documents of Borrower most recently delivered to Bank remain true, accurate and complete and have not been amended,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supplemented or restated and are and continue to be in full force and effect;</w:t>
      </w:r>
    </w:p>
    <w:p>
      <w:pPr>
        <w:spacing w:after="0" w:line="181" w:lineRule="exact"/>
        <w:rPr>
          <w:sz w:val="20"/>
          <w:szCs w:val="20"/>
          <w:color w:val="auto"/>
        </w:rPr>
      </w:pPr>
    </w:p>
    <w:p>
      <w:pPr>
        <w:jc w:val="both"/>
        <w:ind w:left="328" w:right="20"/>
        <w:spacing w:after="0" w:line="239" w:lineRule="auto"/>
        <w:rPr>
          <w:sz w:val="20"/>
          <w:szCs w:val="20"/>
          <w:color w:val="auto"/>
        </w:rPr>
      </w:pPr>
      <w:r>
        <w:rPr>
          <w:rFonts w:ascii="Times New Roman" w:cs="Times New Roman" w:eastAsia="Times New Roman" w:hAnsi="Times New Roman"/>
          <w:sz w:val="18"/>
          <w:szCs w:val="18"/>
          <w:b w:val="1"/>
          <w:bCs w:val="1"/>
          <w:color w:val="auto"/>
        </w:rPr>
        <w:t xml:space="preserve">4.4 </w:t>
      </w:r>
      <w:r>
        <w:rPr>
          <w:rFonts w:ascii="Times New Roman" w:cs="Times New Roman" w:eastAsia="Times New Roman" w:hAnsi="Times New Roman"/>
          <w:sz w:val="18"/>
          <w:szCs w:val="18"/>
          <w:color w:val="auto"/>
        </w:rPr>
        <w:t>The execution and delivery by Borrower of this Amendment and the performance by Borrower of its obligations under the Loan Agreement,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as amended by this Amendment, have been duly authorized;</w:t>
      </w:r>
    </w:p>
    <w:p>
      <w:pPr>
        <w:spacing w:after="0" w:line="195" w:lineRule="exact"/>
        <w:rPr>
          <w:sz w:val="20"/>
          <w:szCs w:val="20"/>
          <w:color w:val="auto"/>
        </w:rPr>
      </w:pPr>
    </w:p>
    <w:p>
      <w:pPr>
        <w:jc w:val="both"/>
        <w:ind w:left="328" w:right="20"/>
        <w:spacing w:after="0" w:line="225" w:lineRule="auto"/>
        <w:rPr>
          <w:sz w:val="20"/>
          <w:szCs w:val="20"/>
          <w:color w:val="auto"/>
        </w:rPr>
      </w:pPr>
      <w:r>
        <w:rPr>
          <w:rFonts w:ascii="Times New Roman" w:cs="Times New Roman" w:eastAsia="Times New Roman" w:hAnsi="Times New Roman"/>
          <w:sz w:val="18"/>
          <w:szCs w:val="18"/>
          <w:b w:val="1"/>
          <w:bCs w:val="1"/>
          <w:color w:val="auto"/>
        </w:rPr>
        <w:t xml:space="preserve">4.5 </w:t>
      </w:r>
      <w:r>
        <w:rPr>
          <w:rFonts w:ascii="Times New Roman" w:cs="Times New Roman" w:eastAsia="Times New Roman" w:hAnsi="Times New Roman"/>
          <w:sz w:val="18"/>
          <w:szCs w:val="18"/>
          <w:color w:val="auto"/>
        </w:rPr>
        <w:t>The execution and delivery by Borrower of this Amendment and the performance by Borrower of its obligations under the Loan Agreement,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as amended by this Amendment, do not and will not contravene (a) any law or regulation binding on or affecting Borrower, (b) any contractual</w:t>
      </w:r>
    </w:p>
    <w:p>
      <w:pPr>
        <w:jc w:val="both"/>
        <w:ind w:left="328"/>
        <w:spacing w:after="0" w:line="233" w:lineRule="auto"/>
        <w:rPr>
          <w:sz w:val="20"/>
          <w:szCs w:val="20"/>
          <w:color w:val="auto"/>
        </w:rPr>
      </w:pPr>
      <w:r>
        <w:rPr>
          <w:rFonts w:ascii="Times New Roman" w:cs="Times New Roman" w:eastAsia="Times New Roman" w:hAnsi="Times New Roman"/>
          <w:sz w:val="18"/>
          <w:szCs w:val="18"/>
          <w:color w:val="auto"/>
        </w:rPr>
        <w:t>restriction with a Person binding on Borrower, (c) any order, judgment or decree of any court or other governmental or public body or authority, or subdivision thereof, binding on Borrower, or (d) the organizational documents of Borrower;</w:t>
      </w:r>
    </w:p>
    <w:p>
      <w:pPr>
        <w:spacing w:after="0" w:line="195" w:lineRule="exact"/>
        <w:rPr>
          <w:sz w:val="20"/>
          <w:szCs w:val="20"/>
          <w:color w:val="auto"/>
        </w:rPr>
      </w:pPr>
    </w:p>
    <w:p>
      <w:pPr>
        <w:jc w:val="both"/>
        <w:ind w:left="328"/>
        <w:spacing w:after="0" w:line="225" w:lineRule="auto"/>
        <w:rPr>
          <w:sz w:val="20"/>
          <w:szCs w:val="20"/>
          <w:color w:val="auto"/>
        </w:rPr>
      </w:pPr>
      <w:r>
        <w:rPr>
          <w:rFonts w:ascii="Times New Roman" w:cs="Times New Roman" w:eastAsia="Times New Roman" w:hAnsi="Times New Roman"/>
          <w:sz w:val="18"/>
          <w:szCs w:val="18"/>
          <w:b w:val="1"/>
          <w:bCs w:val="1"/>
          <w:color w:val="auto"/>
        </w:rPr>
        <w:t xml:space="preserve">4.6 </w:t>
      </w:r>
      <w:r>
        <w:rPr>
          <w:rFonts w:ascii="Times New Roman" w:cs="Times New Roman" w:eastAsia="Times New Roman" w:hAnsi="Times New Roman"/>
          <w:sz w:val="18"/>
          <w:szCs w:val="18"/>
          <w:color w:val="auto"/>
        </w:rPr>
        <w:t>The execution and delivery by Borrower of this Amendment and the performance by Borrower of its obligations under the Loan Agreement,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as amended by this Amendment, do not require any order, consent, approval, license, authorization or validation of, or filing, recording or</w:t>
      </w:r>
    </w:p>
    <w:p>
      <w:pPr>
        <w:jc w:val="both"/>
        <w:ind w:left="328"/>
        <w:spacing w:after="0" w:line="233" w:lineRule="auto"/>
        <w:rPr>
          <w:sz w:val="20"/>
          <w:szCs w:val="20"/>
          <w:color w:val="auto"/>
        </w:rPr>
      </w:pPr>
      <w:r>
        <w:rPr>
          <w:rFonts w:ascii="Times New Roman" w:cs="Times New Roman" w:eastAsia="Times New Roman" w:hAnsi="Times New Roman"/>
          <w:sz w:val="18"/>
          <w:szCs w:val="18"/>
          <w:color w:val="auto"/>
        </w:rPr>
        <w:t>registration with, or exemption by any governmental or public body or authority, or subdivision thereof, binding on Borrower, except as already has been obtained or made; and</w:t>
      </w:r>
    </w:p>
    <w:p>
      <w:pPr>
        <w:spacing w:after="0" w:line="182" w:lineRule="exact"/>
        <w:rPr>
          <w:sz w:val="20"/>
          <w:szCs w:val="20"/>
          <w:color w:val="auto"/>
        </w:rPr>
      </w:pPr>
    </w:p>
    <w:p>
      <w:pPr>
        <w:jc w:val="both"/>
        <w:ind w:left="328"/>
        <w:spacing w:after="0" w:line="238" w:lineRule="auto"/>
        <w:rPr>
          <w:sz w:val="20"/>
          <w:szCs w:val="20"/>
          <w:color w:val="auto"/>
        </w:rPr>
      </w:pPr>
      <w:r>
        <w:rPr>
          <w:rFonts w:ascii="Times New Roman" w:cs="Times New Roman" w:eastAsia="Times New Roman" w:hAnsi="Times New Roman"/>
          <w:sz w:val="18"/>
          <w:szCs w:val="18"/>
          <w:b w:val="1"/>
          <w:bCs w:val="1"/>
          <w:color w:val="auto"/>
        </w:rPr>
        <w:t xml:space="preserve">4.7 </w:t>
      </w:r>
      <w:r>
        <w:rPr>
          <w:rFonts w:ascii="Times New Roman" w:cs="Times New Roman" w:eastAsia="Times New Roman" w:hAnsi="Times New Roman"/>
          <w:sz w:val="18"/>
          <w:szCs w:val="18"/>
          <w:color w:val="auto"/>
        </w:rPr>
        <w:t>This Amendment has been duly executed and delivered by Borrower and is the binding obligation of Borrower, enforceable against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Borrower in accordance with its terms, except as such enforceability may be limited by bankruptcy, insolvency, reorganization, liquidation, moratorium or other similar laws of general application and equitable principles relating to or affecting creditors' rights.</w:t>
      </w:r>
    </w:p>
    <w:p>
      <w:pPr>
        <w:spacing w:after="0" w:line="194" w:lineRule="exact"/>
        <w:rPr>
          <w:sz w:val="20"/>
          <w:szCs w:val="20"/>
          <w:color w:val="auto"/>
        </w:rPr>
      </w:pPr>
    </w:p>
    <w:p>
      <w:pPr>
        <w:jc w:val="both"/>
        <w:ind w:left="328" w:right="40" w:hanging="328"/>
        <w:spacing w:after="0" w:line="266" w:lineRule="auto"/>
        <w:tabs>
          <w:tab w:leader="none" w:pos="328" w:val="left"/>
        </w:tabs>
        <w:numPr>
          <w:ilvl w:val="0"/>
          <w:numId w:val="4"/>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 xml:space="preserve">Ratification of Perfection Certificate. </w:t>
      </w:r>
      <w:r>
        <w:rPr>
          <w:rFonts w:ascii="Times New Roman" w:cs="Times New Roman" w:eastAsia="Times New Roman" w:hAnsi="Times New Roman"/>
          <w:sz w:val="17"/>
          <w:szCs w:val="17"/>
          <w:color w:val="auto"/>
        </w:rPr>
        <w:t>Borrower hereby ratifies, confirms and reaffirms, all and singular, the terms and disclosures contained in a</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certain Perfection Certificate dated as of October 21, 2021, and acknowledges, confirms and agrees that the disclosures and information Borrower provided to Bank in such Perfection Certificate have not changed (other than as set forth in written notices to Bank), as of the date hereof.</w:t>
      </w:r>
    </w:p>
    <w:p>
      <w:pPr>
        <w:spacing w:after="0" w:line="187" w:lineRule="exact"/>
        <w:rPr>
          <w:rFonts w:ascii="Times New Roman" w:cs="Times New Roman" w:eastAsia="Times New Roman" w:hAnsi="Times New Roman"/>
          <w:sz w:val="17"/>
          <w:szCs w:val="17"/>
          <w:b w:val="1"/>
          <w:bCs w:val="1"/>
          <w:color w:val="auto"/>
        </w:rPr>
      </w:pPr>
    </w:p>
    <w:p>
      <w:pPr>
        <w:jc w:val="both"/>
        <w:ind w:left="328" w:hanging="328"/>
        <w:spacing w:after="0" w:line="238" w:lineRule="auto"/>
        <w:tabs>
          <w:tab w:leader="none" w:pos="328"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Integration. </w:t>
      </w:r>
      <w:r>
        <w:rPr>
          <w:rFonts w:ascii="Times New Roman" w:cs="Times New Roman" w:eastAsia="Times New Roman" w:hAnsi="Times New Roman"/>
          <w:sz w:val="18"/>
          <w:szCs w:val="18"/>
          <w:color w:val="auto"/>
        </w:rPr>
        <w:t>This Amendment and the Loan Documents represent the entire agreement about this subject matter and supersede prior negotiations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or agreements. All prior agreements, understandings, representations, warranties, and negotiations between the parties about the subject matter of this Amendment and the Loan Documents merge into this Amendment and the Loan Documents.</w:t>
      </w:r>
    </w:p>
    <w:p>
      <w:pPr>
        <w:spacing w:after="0" w:line="194" w:lineRule="exact"/>
        <w:rPr>
          <w:rFonts w:ascii="Times New Roman" w:cs="Times New Roman" w:eastAsia="Times New Roman" w:hAnsi="Times New Roman"/>
          <w:sz w:val="18"/>
          <w:szCs w:val="18"/>
          <w:b w:val="1"/>
          <w:bCs w:val="1"/>
          <w:color w:val="auto"/>
        </w:rPr>
      </w:pPr>
    </w:p>
    <w:p>
      <w:pPr>
        <w:ind w:left="328" w:right="20" w:hanging="328"/>
        <w:spacing w:after="0" w:line="239" w:lineRule="auto"/>
        <w:tabs>
          <w:tab w:leader="none" w:pos="328"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Counterparts. </w:t>
      </w:r>
      <w:r>
        <w:rPr>
          <w:rFonts w:ascii="Times New Roman" w:cs="Times New Roman" w:eastAsia="Times New Roman" w:hAnsi="Times New Roman"/>
          <w:sz w:val="18"/>
          <w:szCs w:val="18"/>
          <w:color w:val="auto"/>
        </w:rPr>
        <w:t>This Amendment may be executed in any number of counterparts and all of such counterparts taken together shall be deemed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constitute one and the same instrument.</w:t>
      </w:r>
    </w:p>
    <w:p>
      <w:pPr>
        <w:spacing w:after="0" w:line="195" w:lineRule="exact"/>
        <w:rPr>
          <w:rFonts w:ascii="Times New Roman" w:cs="Times New Roman" w:eastAsia="Times New Roman" w:hAnsi="Times New Roman"/>
          <w:sz w:val="18"/>
          <w:szCs w:val="18"/>
          <w:b w:val="1"/>
          <w:bCs w:val="1"/>
          <w:color w:val="auto"/>
        </w:rPr>
      </w:pPr>
    </w:p>
    <w:p>
      <w:pPr>
        <w:ind w:left="328" w:hanging="328"/>
        <w:spacing w:after="0" w:line="271" w:lineRule="auto"/>
        <w:tabs>
          <w:tab w:leader="none" w:pos="328"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Electronic Execution of Documents</w:t>
      </w:r>
      <w:r>
        <w:rPr>
          <w:rFonts w:ascii="Times New Roman" w:cs="Times New Roman" w:eastAsia="Times New Roman" w:hAnsi="Times New Roman"/>
          <w:sz w:val="18"/>
          <w:szCs w:val="18"/>
          <w:color w:val="auto"/>
        </w:rPr>
        <w:t>. Each party hereto may execute this Amendment by electronic means and recognizes and accepts the use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electronic signatures and records by any other party hereto in connection with the execution and storage hereof.</w:t>
      </w:r>
    </w:p>
    <w:p>
      <w:pPr>
        <w:spacing w:after="0" w:line="180" w:lineRule="exact"/>
        <w:rPr>
          <w:rFonts w:ascii="Times New Roman" w:cs="Times New Roman" w:eastAsia="Times New Roman" w:hAnsi="Times New Roman"/>
          <w:sz w:val="18"/>
          <w:szCs w:val="18"/>
          <w:b w:val="1"/>
          <w:bCs w:val="1"/>
          <w:color w:val="auto"/>
        </w:rPr>
      </w:pPr>
    </w:p>
    <w:p>
      <w:pPr>
        <w:jc w:val="both"/>
        <w:ind w:left="328" w:hanging="328"/>
        <w:spacing w:after="0" w:line="241" w:lineRule="auto"/>
        <w:tabs>
          <w:tab w:leader="none" w:pos="328"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Effectiveness</w:t>
      </w:r>
      <w:r>
        <w:rPr>
          <w:rFonts w:ascii="Times New Roman" w:cs="Times New Roman" w:eastAsia="Times New Roman" w:hAnsi="Times New Roman"/>
          <w:sz w:val="18"/>
          <w:szCs w:val="18"/>
          <w:color w:val="auto"/>
        </w:rPr>
        <w:t>. This Amendment shall be deemed effective upon (a) the due execution and delivery to Bank of this Amendment by each party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hereto, (b) Bank’s receipt of good standing certificates for Borrower and such other documentation as Bank reasonably requests, (c) Bank’s receipt of corporation resolutions and incumbency certification and (d) payment of a commitment fee equal to $114,375 and an amount equal to the Bank Expenses incurred in connection with the negotiation and preparation of this Amendment.</w:t>
      </w:r>
    </w:p>
    <w:p>
      <w:pPr>
        <w:spacing w:after="0" w:line="212" w:lineRule="exact"/>
        <w:rPr>
          <w:sz w:val="20"/>
          <w:szCs w:val="20"/>
          <w:color w:val="auto"/>
        </w:rPr>
      </w:pPr>
    </w:p>
    <w:p>
      <w:pPr>
        <w:ind w:left="6048"/>
        <w:spacing w:after="0"/>
        <w:rPr>
          <w:sz w:val="20"/>
          <w:szCs w:val="20"/>
          <w:color w:val="auto"/>
        </w:rPr>
      </w:pPr>
      <w:r>
        <w:rPr>
          <w:rFonts w:ascii="Times New Roman" w:cs="Times New Roman" w:eastAsia="Times New Roman" w:hAnsi="Times New Roman"/>
          <w:sz w:val="18"/>
          <w:szCs w:val="18"/>
          <w:color w:val="auto"/>
        </w:rPr>
        <w:t>[Signature page follows.]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ind w:right="312"/>
        <w:spacing w:after="0"/>
        <w:rPr>
          <w:sz w:val="20"/>
          <w:szCs w:val="20"/>
          <w:color w:val="auto"/>
        </w:rPr>
      </w:pPr>
      <w:r>
        <w:rPr>
          <w:rFonts w:ascii="Times New Roman" w:cs="Times New Roman" w:eastAsia="Times New Roman" w:hAnsi="Times New Roman"/>
          <w:sz w:val="16"/>
          <w:szCs w:val="16"/>
          <w:color w:val="auto"/>
        </w:rPr>
        <w:t>2</w:t>
      </w:r>
    </w:p>
    <w:p>
      <w:pPr>
        <w:sectPr>
          <w:pgSz w:w="11900" w:h="16838" w:orient="portrait"/>
          <w:cols w:equalWidth="0" w:num="1">
            <w:col w:w="10908"/>
          </w:cols>
          <w:pgMar w:left="652" w:top="1238" w:right="339"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17"/>
          <w:szCs w:val="17"/>
          <w:b w:val="1"/>
          <w:bCs w:val="1"/>
          <w:color w:val="626167"/>
        </w:rPr>
        <w:t xml:space="preserve">IN WITNESS WHEREOF, </w:t>
      </w:r>
      <w:r>
        <w:rPr>
          <w:rFonts w:ascii="Times New Roman" w:cs="Times New Roman" w:eastAsia="Times New Roman" w:hAnsi="Times New Roman"/>
          <w:sz w:val="17"/>
          <w:szCs w:val="17"/>
          <w:color w:val="626167"/>
        </w:rPr>
        <w:t>the parties hereto have caused this Amendment to be duly executed and delivered as of the date first written above.</w:t>
      </w:r>
    </w:p>
    <w:p>
      <w:pPr>
        <w:sectPr>
          <w:pgSz w:w="11900" w:h="16838" w:orient="portrait"/>
          <w:cols w:equalWidth="0" w:num="1">
            <w:col w:w="10400"/>
          </w:cols>
          <w:pgMar w:left="320" w:top="995" w:right="1179" w:bottom="1440" w:gutter="0" w:footer="0" w:header="0"/>
        </w:sectPr>
      </w:pPr>
    </w:p>
    <w:p>
      <w:pPr>
        <w:spacing w:after="0" w:line="308" w:lineRule="exact"/>
        <w:rPr>
          <w:sz w:val="20"/>
          <w:szCs w:val="20"/>
          <w:color w:val="auto"/>
        </w:rPr>
      </w:pPr>
    </w:p>
    <w:p>
      <w:pPr>
        <w:ind w:left="20"/>
        <w:spacing w:after="0"/>
        <w:tabs>
          <w:tab w:leader="none" w:pos="5940" w:val="left"/>
        </w:tabs>
        <w:rPr>
          <w:sz w:val="20"/>
          <w:szCs w:val="20"/>
          <w:color w:val="auto"/>
        </w:rPr>
      </w:pPr>
      <w:r>
        <w:rPr>
          <w:rFonts w:ascii="Times New Roman" w:cs="Times New Roman" w:eastAsia="Times New Roman" w:hAnsi="Times New Roman"/>
          <w:sz w:val="18"/>
          <w:szCs w:val="18"/>
          <w:color w:val="auto"/>
        </w:rPr>
        <w:t>Bank</w:t>
      </w:r>
      <w:r>
        <w:rPr>
          <w:sz w:val="20"/>
          <w:szCs w:val="20"/>
          <w:color w:val="auto"/>
        </w:rPr>
        <w:tab/>
      </w:r>
      <w:r>
        <w:rPr>
          <w:rFonts w:ascii="Times New Roman" w:cs="Times New Roman" w:eastAsia="Times New Roman" w:hAnsi="Times New Roman"/>
          <w:sz w:val="18"/>
          <w:szCs w:val="18"/>
          <w:color w:val="auto"/>
        </w:rPr>
        <w:t>Borrower</w:t>
      </w:r>
    </w:p>
    <w:p>
      <w:pPr>
        <w:spacing w:after="0" w:line="77" w:lineRule="exact"/>
        <w:rPr>
          <w:sz w:val="20"/>
          <w:szCs w:val="20"/>
          <w:color w:val="auto"/>
        </w:rPr>
      </w:pPr>
    </w:p>
    <w:p>
      <w:pPr>
        <w:ind w:left="20"/>
        <w:spacing w:after="0"/>
        <w:tabs>
          <w:tab w:leader="none" w:pos="5940" w:val="left"/>
        </w:tabs>
        <w:rPr>
          <w:sz w:val="20"/>
          <w:szCs w:val="20"/>
          <w:color w:val="auto"/>
        </w:rPr>
      </w:pPr>
      <w:r>
        <w:rPr>
          <w:rFonts w:ascii="Times New Roman" w:cs="Times New Roman" w:eastAsia="Times New Roman" w:hAnsi="Times New Roman"/>
          <w:sz w:val="18"/>
          <w:szCs w:val="18"/>
          <w:color w:val="auto"/>
        </w:rPr>
        <w:t>City National Bank</w:t>
      </w:r>
      <w:r>
        <w:rPr>
          <w:sz w:val="20"/>
          <w:szCs w:val="20"/>
          <w:color w:val="auto"/>
        </w:rPr>
        <w:tab/>
      </w:r>
      <w:r>
        <w:rPr>
          <w:rFonts w:ascii="Times New Roman" w:cs="Times New Roman" w:eastAsia="Times New Roman" w:hAnsi="Times New Roman"/>
          <w:sz w:val="18"/>
          <w:szCs w:val="18"/>
          <w:color w:val="auto"/>
        </w:rPr>
        <w:t>Backblaze, Inc.</w:t>
      </w:r>
    </w:p>
    <w:p>
      <w:pPr>
        <w:spacing w:after="0" w:line="306" w:lineRule="exact"/>
        <w:rPr>
          <w:sz w:val="20"/>
          <w:szCs w:val="20"/>
          <w:color w:val="auto"/>
        </w:rPr>
      </w:pPr>
    </w:p>
    <w:p>
      <w:pPr>
        <w:ind w:left="20"/>
        <w:spacing w:after="0"/>
        <w:tabs>
          <w:tab w:leader="none" w:pos="5940" w:val="left"/>
        </w:tabs>
        <w:rPr>
          <w:sz w:val="20"/>
          <w:szCs w:val="20"/>
          <w:color w:val="auto"/>
        </w:rPr>
      </w:pPr>
      <w:r>
        <w:rPr>
          <w:rFonts w:ascii="Times New Roman" w:cs="Times New Roman" w:eastAsia="Times New Roman" w:hAnsi="Times New Roman"/>
          <w:sz w:val="18"/>
          <w:szCs w:val="18"/>
          <w:color w:val="auto"/>
        </w:rPr>
        <w:t>By: /s/ Raed Alfayoumi</w:t>
      </w:r>
      <w:r>
        <w:rPr>
          <w:sz w:val="20"/>
          <w:szCs w:val="20"/>
          <w:color w:val="auto"/>
        </w:rPr>
        <w:tab/>
      </w:r>
      <w:r>
        <w:rPr>
          <w:rFonts w:ascii="Times New Roman" w:cs="Times New Roman" w:eastAsia="Times New Roman" w:hAnsi="Times New Roman"/>
          <w:sz w:val="18"/>
          <w:szCs w:val="18"/>
          <w:color w:val="auto"/>
        </w:rPr>
        <w:t>By: /s/ Frank Patchel</w:t>
      </w:r>
    </w:p>
    <w:p>
      <w:pPr>
        <w:spacing w:after="0" w:line="77" w:lineRule="exact"/>
        <w:rPr>
          <w:sz w:val="20"/>
          <w:szCs w:val="20"/>
          <w:color w:val="auto"/>
        </w:rPr>
      </w:pPr>
    </w:p>
    <w:p>
      <w:pPr>
        <w:ind w:left="20"/>
        <w:spacing w:after="0"/>
        <w:tabs>
          <w:tab w:leader="none" w:pos="5940" w:val="left"/>
        </w:tabs>
        <w:rPr>
          <w:sz w:val="20"/>
          <w:szCs w:val="20"/>
          <w:color w:val="auto"/>
        </w:rPr>
      </w:pPr>
      <w:r>
        <w:rPr>
          <w:rFonts w:ascii="Times New Roman" w:cs="Times New Roman" w:eastAsia="Times New Roman" w:hAnsi="Times New Roman"/>
          <w:sz w:val="18"/>
          <w:szCs w:val="18"/>
          <w:color w:val="auto"/>
        </w:rPr>
        <w:t>Name: Raed Alfayoumi</w:t>
      </w:r>
      <w:r>
        <w:rPr>
          <w:sz w:val="20"/>
          <w:szCs w:val="20"/>
          <w:color w:val="auto"/>
        </w:rPr>
        <w:tab/>
      </w:r>
      <w:r>
        <w:rPr>
          <w:rFonts w:ascii="Times New Roman" w:cs="Times New Roman" w:eastAsia="Times New Roman" w:hAnsi="Times New Roman"/>
          <w:sz w:val="17"/>
          <w:szCs w:val="17"/>
          <w:color w:val="auto"/>
        </w:rPr>
        <w:t>Name: Frank Patchel</w:t>
      </w:r>
    </w:p>
    <w:p>
      <w:pPr>
        <w:spacing w:after="0" w:line="77" w:lineRule="exact"/>
        <w:rPr>
          <w:sz w:val="20"/>
          <w:szCs w:val="20"/>
          <w:color w:val="auto"/>
        </w:rPr>
      </w:pPr>
    </w:p>
    <w:p>
      <w:pPr>
        <w:ind w:left="20"/>
        <w:spacing w:after="0"/>
        <w:tabs>
          <w:tab w:leader="none" w:pos="5940" w:val="left"/>
        </w:tabs>
        <w:rPr>
          <w:sz w:val="20"/>
          <w:szCs w:val="20"/>
          <w:color w:val="auto"/>
        </w:rPr>
      </w:pPr>
      <w:r>
        <w:rPr>
          <w:rFonts w:ascii="Times New Roman" w:cs="Times New Roman" w:eastAsia="Times New Roman" w:hAnsi="Times New Roman"/>
          <w:sz w:val="18"/>
          <w:szCs w:val="18"/>
          <w:color w:val="auto"/>
        </w:rPr>
        <w:t>Title: SVP</w:t>
      </w:r>
      <w:r>
        <w:rPr>
          <w:sz w:val="20"/>
          <w:szCs w:val="20"/>
          <w:color w:val="auto"/>
        </w:rPr>
        <w:tab/>
      </w:r>
      <w:r>
        <w:rPr>
          <w:rFonts w:ascii="Times New Roman" w:cs="Times New Roman" w:eastAsia="Times New Roman" w:hAnsi="Times New Roman"/>
          <w:sz w:val="17"/>
          <w:szCs w:val="17"/>
          <w:color w:val="auto"/>
        </w:rPr>
        <w:t>Title: Chief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5580"/>
        <w:spacing w:after="0"/>
        <w:rPr>
          <w:sz w:val="20"/>
          <w:szCs w:val="20"/>
          <w:color w:val="auto"/>
        </w:rPr>
      </w:pPr>
      <w:r>
        <w:rPr>
          <w:rFonts w:ascii="Calibri" w:cs="Calibri" w:eastAsia="Calibri" w:hAnsi="Calibri"/>
          <w:sz w:val="20"/>
          <w:szCs w:val="20"/>
          <w:color w:val="auto"/>
        </w:rPr>
        <w:t>3</w:t>
      </w:r>
    </w:p>
    <w:sectPr>
      <w:pgSz w:w="11900" w:h="16838" w:orient="portrait"/>
      <w:cols w:equalWidth="0" w:num="1">
        <w:col w:w="10400"/>
      </w:cols>
      <w:pgMar w:left="320" w:top="995" w:right="1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1."/>
      <w:numFmt w:val="upperLetter"/>
      <w:start w:val="1"/>
    </w:lvl>
  </w:abstractNum>
  <w:abstractNum w:abstractNumId="2">
    <w:nsid w:val="2AE8944A"/>
    <w:multiLevelType w:val="hybridMultilevel"/>
    <w:lvl w:ilvl="0">
      <w:lvlJc w:val="left"/>
      <w:lvlText w:val="%1."/>
      <w:numFmt w:val="decimal"/>
      <w:start w:val="1"/>
    </w:lvl>
  </w:abstractNum>
  <w:abstractNum w:abstractNumId="3">
    <w:nsid w:val="625558EC"/>
    <w:multiLevelType w:val="hybridMultilevel"/>
    <w:lvl w:ilvl="0">
      <w:lvlJc w:val="left"/>
      <w:lvlText w:val="%1."/>
      <w:numFmt w:val="decimal"/>
      <w:start w:val="5"/>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2022-04-27T15:33:33Z</dcterms:created>
  <dcterms:modified xsi:type="dcterms:W3CDTF">2022-04-27T15:33:33Z</dcterms:modified>
</cp:coreProperties>
</file>