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491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49148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913"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02/17/2023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913"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913"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jc w:val="center"/>
              <w:ind w:left="408"/>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center"/>
              <w:ind w:left="4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5.88</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177,817</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(3)</w:t>
            </w:r>
          </w:p>
        </w:tc>
        <w:tc>
          <w:tcPr>
            <w:tcW w:w="720" w:type="dxa"/>
            <w:vAlign w:val="bottom"/>
            <w:tcBorders>
              <w:bottom w:val="single" w:sz="8" w:color="2C2C2C"/>
            </w:tcBorders>
          </w:tcPr>
          <w:p>
            <w:pPr>
              <w:jc w:val="center"/>
              <w:ind w:left="28"/>
              <w:spacing w:after="0"/>
              <w:rPr>
                <w:sz w:val="20"/>
                <w:szCs w:val="20"/>
                <w:color w:val="auto"/>
              </w:rPr>
            </w:pPr>
            <w:r>
              <w:rPr>
                <w:rFonts w:ascii="Times New Roman" w:cs="Times New Roman" w:eastAsia="Times New Roman" w:hAnsi="Times New Roman"/>
                <w:sz w:val="17"/>
                <w:szCs w:val="17"/>
                <w:color w:val="0000FF"/>
              </w:rPr>
              <w:t>877</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5.85</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176,940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(3)</w:t>
            </w:r>
          </w:p>
        </w:tc>
        <w:tc>
          <w:tcPr>
            <w:tcW w:w="720" w:type="dxa"/>
            <w:vAlign w:val="bottom"/>
            <w:tcBorders>
              <w:bottom w:val="single" w:sz="8" w:color="2C2C2C"/>
            </w:tcBorders>
          </w:tcPr>
          <w:p>
            <w:pPr>
              <w:jc w:val="center"/>
              <w:ind w:left="48"/>
              <w:spacing w:after="0"/>
              <w:rPr>
                <w:sz w:val="20"/>
                <w:szCs w:val="20"/>
                <w:color w:val="auto"/>
              </w:rPr>
            </w:pPr>
            <w:r>
              <w:rPr>
                <w:rFonts w:ascii="Times New Roman" w:cs="Times New Roman" w:eastAsia="Times New Roman" w:hAnsi="Times New Roman"/>
                <w:sz w:val="17"/>
                <w:szCs w:val="17"/>
                <w:color w:val="0000FF"/>
              </w:rPr>
              <w:t>1,079</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5.61</w:t>
            </w:r>
            <w:r>
              <w:rPr>
                <w:rFonts w:ascii="Times New Roman" w:cs="Times New Roman" w:eastAsia="Times New Roman" w:hAnsi="Times New Roman"/>
                <w:sz w:val="22"/>
                <w:szCs w:val="22"/>
                <w:color w:val="008000"/>
                <w:vertAlign w:val="superscript"/>
              </w:rPr>
              <w:t>(5)</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175,861</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center"/>
              <w:ind w:left="4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5.61</w:t>
            </w:r>
            <w:r>
              <w:rPr>
                <w:rFonts w:ascii="Times New Roman" w:cs="Times New Roman" w:eastAsia="Times New Roman" w:hAnsi="Times New Roman"/>
                <w:sz w:val="22"/>
                <w:szCs w:val="22"/>
                <w:color w:val="008000"/>
                <w:vertAlign w:val="superscript"/>
              </w:rPr>
              <w:t>(6)</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173,861</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center"/>
              <w:ind w:left="4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5.73</w:t>
            </w:r>
            <w:r>
              <w:rPr>
                <w:rFonts w:ascii="Times New Roman" w:cs="Times New Roman" w:eastAsia="Times New Roman" w:hAnsi="Times New Roman"/>
                <w:sz w:val="22"/>
                <w:szCs w:val="22"/>
                <w:color w:val="008000"/>
                <w:vertAlign w:val="superscript"/>
              </w:rPr>
              <w:t>(7)</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171,861</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$5.70 to $6.26,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were sold to cover tax withholding obligations in connection with the vesting of restricted stock units. These sales are mandated by the Issuer's election under its bonus plan to require the satisfaction of tax withholding obligations to be funded by a "sell to cover" transaction and do not represent discretionary trades by the Reporting Person.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$5.715 to $6.30,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3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$5.555 to $5.782,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$5.54 to $5.79,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$5.62 to $5.85,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02/22/2023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91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2023-02-22T19:39:11Z</dcterms:created>
  <dcterms:modified xsi:type="dcterms:W3CDTF">2023-02-22T19:39:11Z</dcterms:modified>
</cp:coreProperties>
</file>